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120" w:line="480"/>
        <w:ind w:left="120"/>
        <w:jc w:val="right"/>
      </w:pPr>
      <w:r>
        <w:rPr>
          <w:rFonts w:ascii="Times New Roman" w:hAnsi="Times New Roman"/>
          <w:b/>
          <w:i w:val="false"/>
          <w:color w:val="000000"/>
          <w:sz w:val="28"/>
        </w:rPr>
        <w:t>RA 26-379</w:t>
      </w:r>
    </w:p>
    <w:p>
      <w:pPr>
        <w:spacing w:before="0" w:after="0" w:line="480"/>
        <w:ind w:left="120"/>
        <w:jc w:val="left"/>
      </w:pPr>
    </w:p>
    <w:p>
      <w:pPr>
        <w:spacing w:before="0" w:after="0" w:line="480"/>
        <w:ind w:left="120"/>
        <w:jc w:val="center"/>
      </w:pPr>
      <w:r>
        <w:rPr>
          <w:rFonts w:ascii="Times New Roman" w:hAnsi="Times New Roman"/>
          <w:b/>
          <w:i w:val="false"/>
          <w:color w:val="000000"/>
          <w:sz w:val="28"/>
        </w:rPr>
        <w:t>TRANSPORTATION DEPARTMENT[761]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761—Chapter 115</w:t>
      </w:r>
    </w:p>
    <w:p>
      <w:pPr>
        <w:spacing w:before="0" w:after="0" w:line="480"/>
        <w:ind w:left="120"/>
        <w:jc w:val="center"/>
      </w:pPr>
      <w:r>
        <w:rPr>
          <w:rFonts w:ascii="Times New Roman" w:hAnsi="Times New Roman"/>
          <w:b w:val="false"/>
          <w:i w:val="false"/>
          <w:color w:val="000000"/>
          <w:sz w:val="24"/>
        </w:rPr>
        <w:t>“Utility Accommodation”</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307.12(1)“j” and 306A.3 as amended by 2026 Iowa Acts, Senate File 2214</w:t>
      </w:r>
    </w:p>
    <w:p>
      <w:pPr>
        <w:spacing w:before="0" w:after="0" w:line="480"/>
        <w:ind w:left="120"/>
        <w:jc w:val="both"/>
      </w:pPr>
      <w:r>
        <w:rPr>
          <w:rFonts w:ascii="Times New Roman" w:hAnsi="Times New Roman"/>
          <w:b w:val="false"/>
          <w:i w:val="false"/>
          <w:color w:val="000000"/>
          <w:sz w:val="24"/>
        </w:rPr>
        <w:t>State or federal law(s) implemented by the rulemaking: Iowa Code section 306A.3</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November 17, 2026</w:t>
            </w:r>
            <w:r>
              <w:br/>
            </w:r>
            <w:r>
              <w:rPr>
                <w:rFonts w:ascii="Times New Roman" w:hAnsi="Times New Roman"/>
                <w:b w:val="false"/>
                <w:i w:val="false"/>
                <w:color w:val="000000"/>
                <w:sz w:val="14"/>
              </w:rPr>
              <w:t>11 to 11:30 a.m.</w:t>
            </w:r>
          </w:p>
        </w:tc>
        <w:tc>
          <w:tcPr>
            <w:tcW w:w="5632" w:type="dxa"/>
            <w:tcBorders/>
            <w:tcMar>
              <w:top w:w="30" w:type="dxa"/>
              <w:left w:w="30" w:type="dxa"/>
              <w:bottom w:w="15" w:type="dxa"/>
              <w:right w:w="30" w:type="dxa"/>
            </w:tcMar>
            <w:vAlign w:val="top"/>
          </w:tcPr>
          <w:p>
            <w:pPr>
              <w:spacing w:before="0" w:after="0" w:line="264"/>
              <w:ind w:left="0"/>
              <w:jc w:val="left"/>
            </w:pPr>
            <w:hyperlink r:id="rId4">
              <w:r>
                <w:rPr>
                  <w:rStyle w:val="Hyperlink"/>
                  <w:rFonts w:ascii="Times New Roman" w:hAnsi="Times New Roman"/>
                  <w:b w:val="false"/>
                  <w:i w:val="false"/>
                  <w:color w:val="0000ff"/>
                  <w:sz w:val="14"/>
                </w:rPr>
                <w:t>Microsoft Teams</w:t>
              </w:r>
            </w:hyperlink>
            <w:r>
              <w:br/>
            </w:r>
            <w:r>
              <w:rPr>
                <w:rFonts w:ascii="Times New Roman" w:hAnsi="Times New Roman"/>
                <w:b w:val="false"/>
                <w:i w:val="false"/>
                <w:color w:val="000000"/>
                <w:sz w:val="14"/>
              </w:rPr>
              <w:t>Or dial: 515.817.6093</w:t>
            </w:r>
            <w:r>
              <w:br/>
            </w:r>
            <w:r>
              <w:rPr>
                <w:rFonts w:ascii="Times New Roman" w:hAnsi="Times New Roman"/>
                <w:b w:val="false"/>
                <w:i w:val="false"/>
                <w:color w:val="000000"/>
                <w:sz w:val="14"/>
              </w:rPr>
              <w:t>Conference ID: 332 754 769#</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Department of Transportation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645"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Ryan Pell</w:t>
            </w:r>
            <w:r>
              <w:br/>
            </w:r>
            <w:r>
              <w:rPr>
                <w:rFonts w:ascii="Times New Roman" w:hAnsi="Times New Roman"/>
                <w:b w:val="false"/>
                <w:i w:val="false"/>
                <w:color w:val="000000"/>
                <w:sz w:val="14"/>
              </w:rPr>
              <w:t>800 Lincoln Way</w:t>
            </w:r>
            <w:r>
              <w:br/>
            </w:r>
            <w:r>
              <w:rPr>
                <w:rFonts w:ascii="Times New Roman" w:hAnsi="Times New Roman"/>
                <w:b w:val="false"/>
                <w:i w:val="false"/>
                <w:color w:val="000000"/>
                <w:sz w:val="14"/>
              </w:rPr>
              <w:t>Ames, Iowa 50010</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ryan.pell@iowadot.us</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the proposed amendments is to align the rules with 2026 Iowa Acts, Senate File 2214. This Act amends the Iowa Code relating to installation of transmission lines on highway rights-of-way and requires the Department to coordinate with utility and transmission line developers, upon written request, to review highway corridors for potential locations to place transmission lines. It also prohibits the Department from denying longitudinal transmission line installations in the primary road rights-of-way unless the Department determines the installation would endanger public safety or interfere with the proper function of the highway.</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costs or fees associated with these proposed amendments beyond the underlying statutes.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No classes of persons are affected by the proposed amendments.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are no quantitative impacts beyond those of the underlying statutes.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There are no qualitative impacts beyond those of the underlying statutes.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implementation or enforcement costs beyond those of the underlying statutes.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are no anticipated effects on State revenues beyond those of the underlying statutes.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There is no benefit of inaction. The amendments are required to conform with the underlying statutes.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There are no less costly or less intrusive methods to achieve the purpose of the proposed amendments, which is compliance with the underlying statutes.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Department did not consider alternatives for the proposed amendments.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There is no impact on small business from the proposed amendments beyond those of the underlying statutes.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761—115.1(306A,314,320)</w:t>
      </w:r>
      <w:r>
        <w:rPr>
          <w:rFonts w:ascii="Times New Roman" w:hAnsi="Times New Roman"/>
          <w:b w:val="false"/>
          <w:i w:val="false"/>
          <w:color w:val="000000"/>
          <w:sz w:val="24"/>
        </w:rPr>
        <w:t>, parenthetical implementation statute</w:t>
      </w:r>
      <w:r>
        <w:rPr>
          <w:rFonts w:ascii="Times New Roman" w:hAnsi="Times New Roman"/>
          <w:b w:val="false"/>
          <w:i w:val="false"/>
          <w:color w:val="000000"/>
          <w:sz w:val="24"/>
        </w:rPr>
        <w:t>, as follows:</w:t>
      </w:r>
    </w:p>
    <w:p>
      <w:pPr>
        <w:spacing w:before="210" w:after="0" w:line="480"/>
        <w:ind w:left="120"/>
        <w:jc w:val="both"/>
      </w:pPr>
      <w:r>
        <w:rPr>
          <w:rFonts w:ascii="Times New Roman" w:hAnsi="Times New Roman"/>
          <w:b/>
          <w:i w:val="false"/>
          <w:color w:val="000000"/>
          <w:sz w:val="24"/>
        </w:rPr>
        <w:t>761—115.1</w:t>
      </w:r>
      <w:r>
        <w:rPr>
          <w:rFonts w:ascii="Times New Roman" w:hAnsi="Times New Roman"/>
          <w:b/>
          <w:i w:val="false"/>
          <w:color w:val="000000"/>
          <w:sz w:val="24"/>
        </w:rPr>
        <w:t>(</w:t>
      </w:r>
      <w:r>
        <w:rPr>
          <w:rFonts w:ascii="Times New Roman" w:hAnsi="Times New Roman"/>
          <w:b/>
          <w:i w:val="false"/>
          <w:color w:val="000000"/>
          <w:sz w:val="24"/>
          <w:u w:val="single"/>
        </w:rPr>
        <w:t>306,</w:t>
      </w:r>
      <w:r>
        <w:rPr>
          <w:rFonts w:ascii="Times New Roman" w:hAnsi="Times New Roman"/>
          <w:b/>
          <w:i w:val="false"/>
          <w:color w:val="000000"/>
          <w:sz w:val="24"/>
        </w:rPr>
        <w:t xml:space="preserve">306A,314,320) </w:t>
      </w:r>
      <w:r>
        <w:rPr>
          <w:rFonts w:ascii="Times New Roman" w:hAnsi="Times New Roman"/>
          <w:b/>
          <w:i w:val="false"/>
          <w:color w:val="000000"/>
          <w:sz w:val="24"/>
        </w:rPr>
        <w:t xml:space="preserve">General. </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i w:val="false"/>
          <w:color w:val="000000"/>
          <w:sz w:val="24"/>
        </w:rPr>
        <w:t>761—115.2(306,306A,321)</w:t>
      </w:r>
      <w:r>
        <w:rPr>
          <w:rFonts w:ascii="Times New Roman" w:hAnsi="Times New Roman"/>
          <w:b w:val="false"/>
          <w:i w:val="false"/>
          <w:color w:val="000000"/>
          <w:sz w:val="24"/>
        </w:rPr>
        <w:t xml:space="preserve">, definitions of </w:t>
      </w:r>
      <w:r>
        <w:rPr>
          <w:rFonts w:ascii="Times New Roman" w:hAnsi="Times New Roman"/>
          <w:b w:val="false"/>
          <w:i w:val="false"/>
          <w:color w:val="000000"/>
          <w:sz w:val="24"/>
        </w:rPr>
        <w:t xml:space="preserve">“Cable” and </w:t>
      </w:r>
      <w:r>
        <w:rPr>
          <w:rFonts w:ascii="Times New Roman" w:hAnsi="Times New Roman"/>
          <w:b w:val="false"/>
          <w:i w:val="false"/>
          <w:color w:val="000000"/>
          <w:sz w:val="24"/>
        </w:rPr>
        <w:t>“Communication line,”</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“Cable”</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an insulated conductor or a </w:t>
      </w:r>
      <w:r>
        <w:rPr>
          <w:rFonts w:ascii="Times New Roman" w:hAnsi="Times New Roman"/>
          <w:b w:val="false"/>
          <w:i w:val="false"/>
          <w:strike/>
          <w:color w:val="000000"/>
          <w:sz w:val="24"/>
        </w:rPr>
        <w:t>combination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group</w:t>
      </w:r>
      <w:r>
        <w:rPr>
          <w:rFonts w:ascii="Times New Roman" w:hAnsi="Times New Roman"/>
          <w:b w:val="false"/>
          <w:i w:val="false"/>
          <w:color w:val="000000"/>
          <w:sz w:val="24"/>
        </w:rPr>
        <w:t xml:space="preserve"> of insulated conductors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used to transmit electrical power or communication signals</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“Communication line”</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“communication cable”</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 cable used for </w:t>
      </w:r>
      <w:r>
        <w:rPr>
          <w:rFonts w:ascii="Times New Roman" w:hAnsi="Times New Roman"/>
          <w:b w:val="false"/>
          <w:i w:val="false"/>
          <w:strike/>
          <w:color w:val="000000"/>
          <w:sz w:val="24"/>
        </w:rPr>
        <w:t>the transmission of</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transmitting</w:t>
      </w:r>
      <w:r>
        <w:rPr>
          <w:rFonts w:ascii="Times New Roman" w:hAnsi="Times New Roman"/>
          <w:b w:val="false"/>
          <w:i w:val="false"/>
          <w:color w:val="000000"/>
          <w:sz w:val="24"/>
        </w:rPr>
        <w:t xml:space="preserve"> data, voice, images, television, alarm systems or traffic control.</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definitions of </w:t>
      </w:r>
      <w:r>
        <w:rPr>
          <w:rFonts w:ascii="Times New Roman" w:hAnsi="Times New Roman"/>
          <w:b w:val="false"/>
          <w:i w:val="false"/>
          <w:color w:val="000000"/>
          <w:sz w:val="24"/>
        </w:rPr>
        <w:t xml:space="preserve">“Department,” </w:t>
      </w:r>
      <w:r>
        <w:rPr>
          <w:rFonts w:ascii="Times New Roman" w:hAnsi="Times New Roman"/>
          <w:b w:val="false"/>
          <w:i w:val="false"/>
          <w:color w:val="000000"/>
          <w:sz w:val="24"/>
        </w:rPr>
        <w:t xml:space="preserve">“Distribution facility,” </w:t>
      </w:r>
      <w:r>
        <w:rPr>
          <w:rFonts w:ascii="Times New Roman" w:hAnsi="Times New Roman"/>
          <w:b w:val="false"/>
          <w:i w:val="false"/>
          <w:color w:val="000000"/>
          <w:sz w:val="24"/>
        </w:rPr>
        <w:t xml:space="preserve">“Transmission line” and </w:t>
      </w:r>
      <w:r>
        <w:rPr>
          <w:rFonts w:ascii="Times New Roman" w:hAnsi="Times New Roman"/>
          <w:b w:val="false"/>
          <w:i w:val="false"/>
          <w:color w:val="000000"/>
          <w:sz w:val="24"/>
        </w:rPr>
        <w:t>“Transmission line developer”</w:t>
      </w:r>
      <w:r>
        <w:rPr>
          <w:rFonts w:ascii="Times New Roman" w:hAnsi="Times New Roman"/>
          <w:b w:val="false"/>
          <w:i w:val="false"/>
          <w:color w:val="000000"/>
          <w:sz w:val="24"/>
        </w:rPr>
        <w:t xml:space="preserve"> in rule </w:t>
      </w:r>
      <w:r>
        <w:rPr>
          <w:rFonts w:ascii="Times New Roman" w:hAnsi="Times New Roman"/>
          <w:b/>
          <w:i w:val="false"/>
          <w:color w:val="000000"/>
          <w:sz w:val="24"/>
        </w:rPr>
        <w:t>761—115.2(306,306A,321)</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“Department”</w:t>
      </w:r>
      <w:r>
        <w:rPr>
          <w:rFonts w:ascii="Times New Roman" w:hAnsi="Times New Roman"/>
          <w:b w:val="false"/>
          <w:i/>
          <w:color w:val="000000"/>
          <w:sz w:val="24"/>
          <w:u w:val="single"/>
        </w:rPr>
        <w:t> </w:t>
      </w:r>
      <w:r>
        <w:rPr>
          <w:rFonts w:ascii="Times New Roman" w:hAnsi="Times New Roman"/>
          <w:b w:val="false"/>
          <w:i w:val="false"/>
          <w:color w:val="000000"/>
          <w:sz w:val="24"/>
        </w:rPr>
        <w:t>means the Iowa department of transportation.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“Distribution facility”</w:t>
      </w:r>
      <w:r>
        <w:rPr>
          <w:rFonts w:ascii="Times New Roman" w:hAnsi="Times New Roman"/>
          <w:b w:val="false"/>
          <w:i/>
          <w:color w:val="000000"/>
          <w:sz w:val="24"/>
          <w:u w:val="single"/>
        </w:rPr>
        <w:t> </w:t>
      </w:r>
      <w:r>
        <w:rPr>
          <w:rFonts w:ascii="Times New Roman" w:hAnsi="Times New Roman"/>
          <w:b w:val="false"/>
          <w:i w:val="false"/>
          <w:color w:val="000000"/>
          <w:sz w:val="24"/>
        </w:rPr>
        <w:t>means a utility line with moderate capability that distributes a product from a transmission line to points convenient for its customers, also known as “main” or “primary.”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“Transmission line”</w:t>
      </w:r>
      <w:r>
        <w:rPr>
          <w:rFonts w:ascii="Times New Roman" w:hAnsi="Times New Roman"/>
          <w:b w:val="false"/>
          <w:i/>
          <w:color w:val="000000"/>
          <w:sz w:val="24"/>
          <w:u w:val="single"/>
        </w:rPr>
        <w:t> </w:t>
      </w:r>
      <w:r>
        <w:rPr>
          <w:rFonts w:ascii="Times New Roman" w:hAnsi="Times New Roman"/>
          <w:b w:val="false"/>
          <w:i w:val="false"/>
          <w:color w:val="000000"/>
          <w:sz w:val="24"/>
        </w:rPr>
        <w:t>means a utility facility with high capacity, which generally carries a product from its source to a distribution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“Transmission line developer”</w:t>
      </w:r>
      <w:r>
        <w:rPr>
          <w:rFonts w:ascii="Times New Roman" w:hAnsi="Times New Roman"/>
          <w:b w:val="false"/>
          <w:i/>
          <w:color w:val="000000"/>
          <w:sz w:val="24"/>
          <w:u w:val="single"/>
        </w:rPr>
        <w:t> </w:t>
      </w:r>
      <w:r>
        <w:rPr>
          <w:rFonts w:ascii="Times New Roman" w:hAnsi="Times New Roman"/>
          <w:b w:val="false"/>
          <w:i w:val="false"/>
          <w:color w:val="000000"/>
          <w:sz w:val="24"/>
        </w:rPr>
        <w:t>means a company or organization that plans, designs, and builds high-voltage electric transmission lines.</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761—115.3(306A,318,320)</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761—115.3</w:t>
      </w:r>
      <w:r>
        <w:rPr>
          <w:rFonts w:ascii="Times New Roman" w:hAnsi="Times New Roman"/>
          <w:b/>
          <w:i w:val="false"/>
          <w:color w:val="000000"/>
          <w:sz w:val="24"/>
        </w:rPr>
        <w:t>(</w:t>
      </w:r>
      <w:r>
        <w:rPr>
          <w:rFonts w:ascii="Times New Roman" w:hAnsi="Times New Roman"/>
          <w:b/>
          <w:i w:val="false"/>
          <w:color w:val="000000"/>
          <w:sz w:val="24"/>
          <w:u w:val="single"/>
        </w:rPr>
        <w:t>306,</w:t>
      </w:r>
      <w:r>
        <w:rPr>
          <w:rFonts w:ascii="Times New Roman" w:hAnsi="Times New Roman"/>
          <w:b/>
          <w:i w:val="false"/>
          <w:color w:val="000000"/>
          <w:sz w:val="24"/>
        </w:rPr>
        <w:t xml:space="preserve">306A,318,320) </w:t>
      </w:r>
      <w:r>
        <w:rPr>
          <w:rFonts w:ascii="Times New Roman" w:hAnsi="Times New Roman"/>
          <w:b/>
          <w:i w:val="false"/>
          <w:color w:val="000000"/>
          <w:sz w:val="24"/>
        </w:rPr>
        <w:t xml:space="preserve">General provisions.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115.3(1)</w:t>
      </w:r>
      <w:r>
        <w:rPr>
          <w:rFonts w:ascii="Times New Roman" w:hAnsi="Times New Roman"/>
          <w:b w:val="false"/>
          <w:i w:val="false"/>
          <w:color w:val="000000"/>
          <w:sz w:val="24"/>
        </w:rPr>
        <w:t> </w:t>
      </w:r>
      <w:r>
        <w:rPr>
          <w:rFonts w:ascii="Times New Roman" w:hAnsi="Times New Roman"/>
          <w:b w:val="false"/>
          <w:i/>
          <w:color w:val="000000"/>
          <w:sz w:val="24"/>
        </w:rPr>
        <w:t xml:space="preserve">Permit required. </w:t>
      </w:r>
      <w:r>
        <w:rPr>
          <w:rFonts w:ascii="Times New Roman" w:hAnsi="Times New Roman"/>
          <w:b w:val="false"/>
          <w:i w:val="false"/>
          <w:color w:val="000000"/>
          <w:sz w:val="24"/>
        </w:rPr>
        <w:t>A permit is required to place utility facilities in, on, above or below the primary road rights-of-way to attach utility facilities to a primary road structure or to adjust existing utility facilities occupying the rights-of-way.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u w:val="single"/>
        </w:rPr>
        <w:t>115.3(2)</w:t>
      </w:r>
      <w:r>
        <w:rPr>
          <w:rFonts w:ascii="Times New Roman" w:hAnsi="Times New Roman"/>
          <w:b w:val="false"/>
          <w:i w:val="false"/>
          <w:color w:val="000000"/>
          <w:sz w:val="24"/>
          <w:u w:val="single"/>
        </w:rPr>
        <w:t> </w:t>
      </w:r>
      <w:r>
        <w:rPr>
          <w:rFonts w:ascii="Times New Roman" w:hAnsi="Times New Roman"/>
          <w:b w:val="false"/>
          <w:i/>
          <w:color w:val="000000"/>
          <w:sz w:val="24"/>
          <w:u w:val="single"/>
        </w:rPr>
        <w:t xml:space="preserve">Longitudinal electric transmission lines.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a.</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The utility owner or transmission line developer must provide a written request to the department to engage in coordination activities to review highway corridors identified in the request for potential locations to place transmission lines during the approval process with the Iowa utilities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b.</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The department will share all known plans with the utility owner or transmission line developer on planned projects in the highway corridor if the planned project impacts the placement or siting of transmission lines.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c.</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Installations in the primary road rights-of-way, including freeways, may be permitted if the department determines the installation will not endanger public safety, is complementary with the proper function of the road, and does not impede potential future roadway improvements.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d.</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The department shall notify the utility owner or transmission line developer of its acceptance or denial of the request within 90 days of receiving the written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strike/>
          <w:color w:val="000000"/>
          <w:sz w:val="24"/>
        </w:rPr>
        <w:t>115.3(2)</w:t>
      </w:r>
      <w:r>
        <w:rPr>
          <w:rFonts w:ascii="Times New Roman" w:hAnsi="Times New Roman"/>
          <w:b w:val="false"/>
          <w:i w:val="false"/>
          <w:color w:val="000000"/>
          <w:sz w:val="24"/>
        </w:rPr>
        <w:t xml:space="preserve"> </w:t>
      </w:r>
      <w:r>
        <w:rPr>
          <w:rFonts w:ascii="Times New Roman" w:hAnsi="Times New Roman"/>
          <w:b/>
          <w:i w:val="false"/>
          <w:color w:val="000000"/>
          <w:sz w:val="24"/>
          <w:u w:val="single"/>
        </w:rPr>
        <w:t>115.3(3)</w:t>
      </w:r>
      <w:r>
        <w:rPr>
          <w:rFonts w:ascii="Times New Roman" w:hAnsi="Times New Roman"/>
          <w:b w:val="false"/>
          <w:i w:val="false"/>
          <w:color w:val="000000"/>
          <w:sz w:val="24"/>
        </w:rPr>
        <w:t> </w:t>
      </w:r>
      <w:r>
        <w:rPr>
          <w:rFonts w:ascii="Times New Roman" w:hAnsi="Times New Roman"/>
          <w:b w:val="false"/>
          <w:i/>
          <w:color w:val="000000"/>
          <w:sz w:val="24"/>
        </w:rPr>
        <w:t xml:space="preserve">Future adjustment.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 and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strike/>
          <w:color w:val="000000"/>
          <w:sz w:val="24"/>
        </w:rPr>
        <w:t>115.3(3)</w:t>
      </w:r>
      <w:r>
        <w:rPr>
          <w:rFonts w:ascii="Times New Roman" w:hAnsi="Times New Roman"/>
          <w:b w:val="false"/>
          <w:i w:val="false"/>
          <w:color w:val="000000"/>
          <w:sz w:val="24"/>
        </w:rPr>
        <w:t xml:space="preserve"> </w:t>
      </w:r>
      <w:r>
        <w:rPr>
          <w:rFonts w:ascii="Times New Roman" w:hAnsi="Times New Roman"/>
          <w:b/>
          <w:i w:val="false"/>
          <w:color w:val="000000"/>
          <w:sz w:val="24"/>
          <w:u w:val="single"/>
        </w:rPr>
        <w:t>115.3(4)</w:t>
      </w:r>
      <w:r>
        <w:rPr>
          <w:rFonts w:ascii="Times New Roman" w:hAnsi="Times New Roman"/>
          <w:b w:val="false"/>
          <w:i w:val="false"/>
          <w:color w:val="000000"/>
          <w:sz w:val="24"/>
        </w:rPr>
        <w:t> </w:t>
      </w:r>
      <w:r>
        <w:rPr>
          <w:rFonts w:ascii="Times New Roman" w:hAnsi="Times New Roman"/>
          <w:b w:val="false"/>
          <w:i/>
          <w:color w:val="000000"/>
          <w:sz w:val="24"/>
        </w:rPr>
        <w:t xml:space="preserve">Compliance with requirements. </w:t>
      </w:r>
      <w:r>
        <w:rPr>
          <w:rFonts w:ascii="Times New Roman" w:hAnsi="Times New Roman"/>
          <w:b w:val="false"/>
          <w:i w:val="false"/>
          <w:color w:val="000000"/>
          <w:sz w:val="24"/>
        </w:rPr>
        <w:t>It is the responsibility of the utility owner to ensure that the utility owner’s utility facility complies with all applicable federal, state, local and franchise requirements and meets generally accepted industry standards at the time of installation.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strike/>
          <w:color w:val="000000"/>
          <w:sz w:val="24"/>
        </w:rPr>
        <w:t>115.3(4)</w:t>
      </w:r>
      <w:r>
        <w:rPr>
          <w:rFonts w:ascii="Times New Roman" w:hAnsi="Times New Roman"/>
          <w:b w:val="false"/>
          <w:i w:val="false"/>
          <w:color w:val="000000"/>
          <w:sz w:val="24"/>
        </w:rPr>
        <w:t xml:space="preserve"> </w:t>
      </w:r>
      <w:r>
        <w:rPr>
          <w:rFonts w:ascii="Times New Roman" w:hAnsi="Times New Roman"/>
          <w:b/>
          <w:i w:val="false"/>
          <w:color w:val="000000"/>
          <w:sz w:val="24"/>
          <w:u w:val="single"/>
        </w:rPr>
        <w:t>115.3(5)</w:t>
      </w:r>
      <w:r>
        <w:rPr>
          <w:rFonts w:ascii="Times New Roman" w:hAnsi="Times New Roman"/>
          <w:b w:val="false"/>
          <w:i w:val="false"/>
          <w:color w:val="000000"/>
          <w:sz w:val="24"/>
        </w:rPr>
        <w:t> </w:t>
      </w:r>
      <w:r>
        <w:rPr>
          <w:rFonts w:ascii="Times New Roman" w:hAnsi="Times New Roman"/>
          <w:b w:val="false"/>
          <w:i/>
          <w:color w:val="000000"/>
          <w:sz w:val="24"/>
        </w:rPr>
        <w:t xml:space="preserve">Performance bond. </w:t>
      </w:r>
      <w:r>
        <w:rPr>
          <w:rFonts w:ascii="Times New Roman" w:hAnsi="Times New Roman"/>
          <w:b w:val="false"/>
          <w:i w:val="false"/>
          <w:color w:val="000000"/>
          <w:sz w:val="24"/>
        </w:rPr>
        <w:t xml:space="preserve">The department may require a performance bond for utility work within the primary road rights-of-way under the following circumstances: the work is being done to adjust or relocate the utility facility to accommodate a planned primary road project; the installation is unusual; abnormal site conditions exist, such as but not limited to unstable soil or unique vegetation; or the utility owner has a history of performance problems. A performance bond is required for longitudinal freeway occupancy; more information contained in subrule </w:t>
      </w:r>
      <w:hyperlink r:id="rId6">
        <w:r>
          <w:rPr>
            <w:rStyle w:val="Hyperlink"/>
            <w:rFonts w:ascii="Times New Roman" w:hAnsi="Times New Roman"/>
            <w:b w:val="false"/>
            <w:i w:val="false"/>
            <w:strike/>
            <w:color w:val="000000"/>
            <w:sz w:val="24"/>
          </w:rPr>
          <w:t>115.15(9)</w:t>
        </w:r>
      </w:hyperlink>
      <w:r>
        <w:rPr>
          <w:rFonts w:ascii="Times New Roman" w:hAnsi="Times New Roman"/>
          <w:b w:val="false"/>
          <w:i w:val="false"/>
          <w:color w:val="000000"/>
          <w:sz w:val="24"/>
          <w:u w:val="single"/>
        </w:rPr>
        <w:t> </w:t>
      </w:r>
      <w:hyperlink r:id="rId7">
        <w:r>
          <w:rPr>
            <w:rStyle w:val="Hyperlink"/>
            <w:rFonts w:ascii="Times New Roman" w:hAnsi="Times New Roman"/>
            <w:b w:val="false"/>
            <w:i w:val="false"/>
            <w:color w:val="000000"/>
            <w:sz w:val="24"/>
            <w:u w:val="single"/>
          </w:rPr>
          <w:t>115.15(11)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strike/>
          <w:color w:val="000000"/>
          <w:sz w:val="24"/>
        </w:rPr>
        <w:t>115.3(5)</w:t>
      </w:r>
      <w:r>
        <w:rPr>
          <w:rFonts w:ascii="Times New Roman" w:hAnsi="Times New Roman"/>
          <w:b w:val="false"/>
          <w:i w:val="false"/>
          <w:color w:val="000000"/>
          <w:sz w:val="24"/>
        </w:rPr>
        <w:t xml:space="preserve"> </w:t>
      </w:r>
      <w:r>
        <w:rPr>
          <w:rFonts w:ascii="Times New Roman" w:hAnsi="Times New Roman"/>
          <w:b/>
          <w:i w:val="false"/>
          <w:color w:val="000000"/>
          <w:sz w:val="24"/>
          <w:u w:val="single"/>
        </w:rPr>
        <w:t>115.3(6)</w:t>
      </w:r>
      <w:r>
        <w:rPr>
          <w:rFonts w:ascii="Times New Roman" w:hAnsi="Times New Roman"/>
          <w:b w:val="false"/>
          <w:i w:val="false"/>
          <w:color w:val="000000"/>
          <w:sz w:val="24"/>
        </w:rPr>
        <w:t> </w:t>
      </w:r>
      <w:r>
        <w:rPr>
          <w:rFonts w:ascii="Times New Roman" w:hAnsi="Times New Roman"/>
          <w:b w:val="false"/>
          <w:i/>
          <w:color w:val="000000"/>
          <w:sz w:val="24"/>
        </w:rPr>
        <w:t xml:space="preserve">Execution of work. </w:t>
      </w:r>
      <w:r>
        <w:rPr>
          <w:rFonts w:ascii="Times New Roman" w:hAnsi="Times New Roman"/>
          <w:b w:val="false"/>
          <w:i w:val="false"/>
          <w:color w:val="000000"/>
          <w:sz w:val="24"/>
        </w:rPr>
        <w:t>Utility construction and maintenance work within the primary road rights-of-way is to be accomplished in a manner satisfactory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strike/>
          <w:color w:val="000000"/>
          <w:sz w:val="24"/>
        </w:rPr>
        <w:t>115.3(6)</w:t>
      </w:r>
      <w:r>
        <w:rPr>
          <w:rFonts w:ascii="Times New Roman" w:hAnsi="Times New Roman"/>
          <w:b w:val="false"/>
          <w:i w:val="false"/>
          <w:color w:val="000000"/>
          <w:sz w:val="24"/>
        </w:rPr>
        <w:t xml:space="preserve"> </w:t>
      </w:r>
      <w:r>
        <w:rPr>
          <w:rFonts w:ascii="Times New Roman" w:hAnsi="Times New Roman"/>
          <w:b/>
          <w:i w:val="false"/>
          <w:color w:val="000000"/>
          <w:sz w:val="24"/>
          <w:u w:val="single"/>
        </w:rPr>
        <w:t>115.3(7)</w:t>
      </w:r>
      <w:r>
        <w:rPr>
          <w:rFonts w:ascii="Times New Roman" w:hAnsi="Times New Roman"/>
          <w:b w:val="false"/>
          <w:i w:val="false"/>
          <w:color w:val="000000"/>
          <w:sz w:val="24"/>
        </w:rPr>
        <w:t> </w:t>
      </w:r>
      <w:r>
        <w:rPr>
          <w:rFonts w:ascii="Times New Roman" w:hAnsi="Times New Roman"/>
          <w:b w:val="false"/>
          <w:i/>
          <w:color w:val="000000"/>
          <w:sz w:val="24"/>
        </w:rPr>
        <w:t xml:space="preserve">Disturbance of other contractors. </w:t>
      </w:r>
      <w:r>
        <w:rPr>
          <w:rFonts w:ascii="Times New Roman" w:hAnsi="Times New Roman"/>
          <w:b w:val="false"/>
          <w:i w:val="false"/>
          <w:color w:val="000000"/>
          <w:sz w:val="24"/>
        </w:rPr>
        <w:t>Utility construction and maintenance work within the primary road rights-of-way is to be accomplished in a manner that minimizes disturbance to any other contractor working within the rights-of-way. It is the responsibility of the utility owner to coordinate work with other contractors.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strike/>
          <w:color w:val="000000"/>
          <w:sz w:val="24"/>
        </w:rPr>
        <w:t>115.3(7)</w:t>
      </w:r>
      <w:r>
        <w:rPr>
          <w:rFonts w:ascii="Times New Roman" w:hAnsi="Times New Roman"/>
          <w:b w:val="false"/>
          <w:i w:val="false"/>
          <w:color w:val="000000"/>
          <w:sz w:val="24"/>
        </w:rPr>
        <w:t xml:space="preserve"> </w:t>
      </w:r>
      <w:r>
        <w:rPr>
          <w:rFonts w:ascii="Times New Roman" w:hAnsi="Times New Roman"/>
          <w:b/>
          <w:i w:val="false"/>
          <w:color w:val="000000"/>
          <w:sz w:val="24"/>
          <w:u w:val="single"/>
        </w:rPr>
        <w:t>115.3(8)</w:t>
      </w:r>
      <w:r>
        <w:rPr>
          <w:rFonts w:ascii="Times New Roman" w:hAnsi="Times New Roman"/>
          <w:b w:val="false"/>
          <w:i w:val="false"/>
          <w:color w:val="000000"/>
          <w:sz w:val="24"/>
        </w:rPr>
        <w:t> </w:t>
      </w:r>
      <w:r>
        <w:rPr>
          <w:rFonts w:ascii="Times New Roman" w:hAnsi="Times New Roman"/>
          <w:b w:val="false"/>
          <w:i/>
          <w:color w:val="000000"/>
          <w:sz w:val="24"/>
        </w:rPr>
        <w:t xml:space="preserve">No adverse effect on primary road. </w:t>
      </w:r>
      <w:r>
        <w:rPr>
          <w:rFonts w:ascii="Times New Roman" w:hAnsi="Times New Roman"/>
          <w:b w:val="false"/>
          <w:i w:val="false"/>
          <w:color w:val="000000"/>
          <w:sz w:val="24"/>
        </w:rPr>
        <w:t>A utility facility must not adversely affect the safety, design, construction, operation, maintenance or stability of the present use or future expansion of a primary road.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strike/>
          <w:color w:val="000000"/>
          <w:sz w:val="24"/>
        </w:rPr>
        <w:t>115.3(8)</w:t>
      </w:r>
      <w:r>
        <w:rPr>
          <w:rFonts w:ascii="Times New Roman" w:hAnsi="Times New Roman"/>
          <w:b w:val="false"/>
          <w:i w:val="false"/>
          <w:color w:val="000000"/>
          <w:sz w:val="24"/>
        </w:rPr>
        <w:t xml:space="preserve"> </w:t>
      </w:r>
      <w:r>
        <w:rPr>
          <w:rFonts w:ascii="Times New Roman" w:hAnsi="Times New Roman"/>
          <w:b/>
          <w:i w:val="false"/>
          <w:color w:val="000000"/>
          <w:sz w:val="24"/>
          <w:u w:val="single"/>
        </w:rPr>
        <w:t>115.3(9)</w:t>
      </w:r>
      <w:r>
        <w:rPr>
          <w:rFonts w:ascii="Times New Roman" w:hAnsi="Times New Roman"/>
          <w:b w:val="false"/>
          <w:i w:val="false"/>
          <w:color w:val="000000"/>
          <w:sz w:val="24"/>
        </w:rPr>
        <w:t> </w:t>
      </w:r>
      <w:r>
        <w:rPr>
          <w:rFonts w:ascii="Times New Roman" w:hAnsi="Times New Roman"/>
          <w:b w:val="false"/>
          <w:i/>
          <w:color w:val="000000"/>
          <w:sz w:val="24"/>
        </w:rPr>
        <w:t xml:space="preserve">Safety, health and sanitation. </w:t>
      </w:r>
      <w:r>
        <w:rPr>
          <w:rFonts w:ascii="Times New Roman" w:hAnsi="Times New Roman"/>
          <w:b w:val="false"/>
          <w:i w:val="false"/>
          <w:color w:val="000000"/>
          <w:sz w:val="24"/>
        </w:rPr>
        <w:t>Construction and maintenance of a utility facility shall be accomplished in a manner that minimizes disruption of primary road traffic and other hazards to the road user. The utility owner is responsible to comply with the MUTCD and all applicable federal, state and local statutes, ordinances and regulations governing safety, health and sanitation. The utility owner is to furnish such additional safeguards, safety devices and protective equipment and take actions to protect the life and health of the public.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strike/>
          <w:color w:val="000000"/>
          <w:sz w:val="24"/>
        </w:rPr>
        <w:t>115.3(9)</w:t>
      </w:r>
      <w:r>
        <w:rPr>
          <w:rFonts w:ascii="Times New Roman" w:hAnsi="Times New Roman"/>
          <w:b w:val="false"/>
          <w:i w:val="false"/>
          <w:color w:val="000000"/>
          <w:sz w:val="24"/>
        </w:rPr>
        <w:t xml:space="preserve"> </w:t>
      </w:r>
      <w:r>
        <w:rPr>
          <w:rFonts w:ascii="Times New Roman" w:hAnsi="Times New Roman"/>
          <w:b/>
          <w:i w:val="false"/>
          <w:color w:val="000000"/>
          <w:sz w:val="24"/>
          <w:u w:val="single"/>
        </w:rPr>
        <w:t>115.3(10)</w:t>
      </w:r>
      <w:r>
        <w:rPr>
          <w:rFonts w:ascii="Times New Roman" w:hAnsi="Times New Roman"/>
          <w:b w:val="false"/>
          <w:i w:val="false"/>
          <w:color w:val="000000"/>
          <w:sz w:val="24"/>
        </w:rPr>
        <w:t> </w:t>
      </w:r>
      <w:r>
        <w:rPr>
          <w:rFonts w:ascii="Times New Roman" w:hAnsi="Times New Roman"/>
          <w:b w:val="false"/>
          <w:i/>
          <w:color w:val="000000"/>
          <w:sz w:val="24"/>
        </w:rPr>
        <w:t xml:space="preserve">Parking or storage in clear zone or median.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strike/>
          <w:color w:val="000000"/>
          <w:sz w:val="24"/>
        </w:rPr>
        <w:t>115.3(10)</w:t>
      </w:r>
      <w:r>
        <w:rPr>
          <w:rFonts w:ascii="Times New Roman" w:hAnsi="Times New Roman"/>
          <w:b w:val="false"/>
          <w:i w:val="false"/>
          <w:color w:val="000000"/>
          <w:sz w:val="24"/>
        </w:rPr>
        <w:t xml:space="preserve"> </w:t>
      </w:r>
      <w:r>
        <w:rPr>
          <w:rFonts w:ascii="Times New Roman" w:hAnsi="Times New Roman"/>
          <w:b/>
          <w:i w:val="false"/>
          <w:color w:val="000000"/>
          <w:sz w:val="24"/>
          <w:u w:val="single"/>
        </w:rPr>
        <w:t>115.3(11)</w:t>
      </w:r>
      <w:r>
        <w:rPr>
          <w:rFonts w:ascii="Times New Roman" w:hAnsi="Times New Roman"/>
          <w:b w:val="false"/>
          <w:i w:val="false"/>
          <w:color w:val="000000"/>
          <w:sz w:val="24"/>
        </w:rPr>
        <w:t> </w:t>
      </w:r>
      <w:r>
        <w:rPr>
          <w:rFonts w:ascii="Times New Roman" w:hAnsi="Times New Roman"/>
          <w:b w:val="false"/>
          <w:i/>
          <w:color w:val="000000"/>
          <w:sz w:val="24"/>
        </w:rPr>
        <w:t xml:space="preserve">Protection of landscaped or planted areas. </w:t>
      </w:r>
      <w:r>
        <w:rPr>
          <w:rFonts w:ascii="Times New Roman" w:hAnsi="Times New Roman"/>
          <w:b w:val="false"/>
          <w:i w:val="false"/>
          <w:color w:val="000000"/>
          <w:sz w:val="24"/>
        </w:rPr>
        <w:t>Prior to permit approval, specific authorization is to be obtained from the district representative for mowing, trimming trees and shrubs, and for spraying within the rights-of-way. Landscaped and planted areas are to be avoided as much as practical. A landscaped or planted area that is disturbed is to be restored as nearly as practical to its original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strike/>
          <w:color w:val="000000"/>
          <w:sz w:val="24"/>
        </w:rPr>
        <w:t>115.3(11)</w:t>
      </w:r>
      <w:r>
        <w:rPr>
          <w:rFonts w:ascii="Times New Roman" w:hAnsi="Times New Roman"/>
          <w:b w:val="false"/>
          <w:i w:val="false"/>
          <w:color w:val="000000"/>
          <w:sz w:val="24"/>
        </w:rPr>
        <w:t xml:space="preserve"> </w:t>
      </w:r>
      <w:r>
        <w:rPr>
          <w:rFonts w:ascii="Times New Roman" w:hAnsi="Times New Roman"/>
          <w:b/>
          <w:i w:val="false"/>
          <w:color w:val="000000"/>
          <w:sz w:val="24"/>
          <w:u w:val="single"/>
        </w:rPr>
        <w:t>115.3(12)</w:t>
      </w:r>
      <w:r>
        <w:rPr>
          <w:rFonts w:ascii="Times New Roman" w:hAnsi="Times New Roman"/>
          <w:b w:val="false"/>
          <w:i w:val="false"/>
          <w:color w:val="000000"/>
          <w:sz w:val="24"/>
        </w:rPr>
        <w:t> </w:t>
      </w:r>
      <w:r>
        <w:rPr>
          <w:rFonts w:ascii="Times New Roman" w:hAnsi="Times New Roman"/>
          <w:b w:val="false"/>
          <w:i/>
          <w:color w:val="000000"/>
          <w:sz w:val="24"/>
        </w:rPr>
        <w:t xml:space="preserve">Noncompliance. </w:t>
      </w:r>
      <w:r>
        <w:rPr>
          <w:rFonts w:ascii="Times New Roman" w:hAnsi="Times New Roman"/>
          <w:b w:val="false"/>
          <w:i w:val="false"/>
          <w:color w:val="000000"/>
          <w:sz w:val="24"/>
        </w:rPr>
        <w:t>The department may take any or all of the following actions for noncompliance with any provision of this chapter or any term of a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Initiate a claim on the performance bond as set out in subrule </w:t>
      </w:r>
      <w:hyperlink r:id="rId8">
        <w:r>
          <w:rPr>
            <w:rStyle w:val="Hyperlink"/>
            <w:rFonts w:ascii="Times New Roman" w:hAnsi="Times New Roman"/>
            <w:b w:val="false"/>
            <w:i w:val="false"/>
            <w:strike/>
            <w:color w:val="000000"/>
            <w:sz w:val="24"/>
          </w:rPr>
          <w:t>115.3(4)</w:t>
        </w:r>
      </w:hyperlink>
      <w:r>
        <w:rPr>
          <w:rFonts w:ascii="Times New Roman" w:hAnsi="Times New Roman"/>
          <w:b w:val="false"/>
          <w:i w:val="false"/>
          <w:color w:val="000000"/>
          <w:sz w:val="24"/>
          <w:u w:val="single"/>
        </w:rPr>
        <w:t> </w:t>
      </w:r>
      <w:hyperlink r:id="rId9">
        <w:r>
          <w:rPr>
            <w:rStyle w:val="Hyperlink"/>
            <w:rFonts w:ascii="Times New Roman" w:hAnsi="Times New Roman"/>
            <w:b w:val="false"/>
            <w:i w:val="false"/>
            <w:color w:val="000000"/>
            <w:sz w:val="24"/>
            <w:u w:val="single"/>
          </w:rPr>
          <w:t>115.3(5)</w:t>
        </w:r>
      </w:hyperlink>
      <w:r>
        <w:rPr>
          <w:rFonts w:ascii="Times New Roman" w:hAnsi="Times New Roman"/>
          <w:b w:val="false"/>
          <w:i w:val="false"/>
          <w:color w:val="000000"/>
          <w:sz w:val="24"/>
        </w:rPr>
        <w:t>, when a bond is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strike/>
          <w:color w:val="000000"/>
          <w:sz w:val="24"/>
        </w:rPr>
        <w:t>115.3(12)</w:t>
      </w:r>
      <w:r>
        <w:rPr>
          <w:rFonts w:ascii="Times New Roman" w:hAnsi="Times New Roman"/>
          <w:b w:val="false"/>
          <w:i w:val="false"/>
          <w:color w:val="000000"/>
          <w:sz w:val="24"/>
        </w:rPr>
        <w:t xml:space="preserve"> </w:t>
      </w:r>
      <w:r>
        <w:rPr>
          <w:rFonts w:ascii="Times New Roman" w:hAnsi="Times New Roman"/>
          <w:b/>
          <w:i w:val="false"/>
          <w:color w:val="000000"/>
          <w:sz w:val="24"/>
          <w:u w:val="single"/>
        </w:rPr>
        <w:t>115.3(13)</w:t>
      </w:r>
      <w:r>
        <w:rPr>
          <w:rFonts w:ascii="Times New Roman" w:hAnsi="Times New Roman"/>
          <w:b w:val="false"/>
          <w:i w:val="false"/>
          <w:color w:val="000000"/>
          <w:sz w:val="24"/>
        </w:rPr>
        <w:t> </w:t>
      </w:r>
      <w:r>
        <w:rPr>
          <w:rFonts w:ascii="Times New Roman" w:hAnsi="Times New Roman"/>
          <w:b w:val="false"/>
          <w:i/>
          <w:color w:val="000000"/>
          <w:sz w:val="24"/>
        </w:rPr>
        <w:t xml:space="preserve">Identification signs and markers. </w:t>
      </w:r>
      <w:r>
        <w:rPr>
          <w:rFonts w:ascii="Times New Roman" w:hAnsi="Times New Roman"/>
          <w:b w:val="false"/>
          <w:i w:val="false"/>
          <w:color w:val="000000"/>
          <w:sz w:val="24"/>
        </w:rPr>
        <w:t>Utility facilities within primary road rights-of-way shall be properly marked in accordance with the following unless otherwise authorized by the district representative: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strike/>
          <w:color w:val="000000"/>
          <w:sz w:val="24"/>
        </w:rPr>
        <w:t>115.3(13)</w:t>
      </w:r>
      <w:r>
        <w:rPr>
          <w:rFonts w:ascii="Times New Roman" w:hAnsi="Times New Roman"/>
          <w:b w:val="false"/>
          <w:i w:val="false"/>
          <w:color w:val="000000"/>
          <w:sz w:val="24"/>
        </w:rPr>
        <w:t xml:space="preserve"> </w:t>
      </w:r>
      <w:r>
        <w:rPr>
          <w:rFonts w:ascii="Times New Roman" w:hAnsi="Times New Roman"/>
          <w:b/>
          <w:i w:val="false"/>
          <w:color w:val="000000"/>
          <w:sz w:val="24"/>
          <w:u w:val="single"/>
        </w:rPr>
        <w:t>115.3(14)</w:t>
      </w:r>
      <w:r>
        <w:rPr>
          <w:rFonts w:ascii="Times New Roman" w:hAnsi="Times New Roman"/>
          <w:b w:val="false"/>
          <w:i w:val="false"/>
          <w:color w:val="000000"/>
          <w:sz w:val="24"/>
        </w:rPr>
        <w:t> </w:t>
      </w:r>
      <w:r>
        <w:rPr>
          <w:rFonts w:ascii="Times New Roman" w:hAnsi="Times New Roman"/>
          <w:b w:val="false"/>
          <w:i/>
          <w:color w:val="000000"/>
          <w:sz w:val="24"/>
        </w:rPr>
        <w:t xml:space="preserve">Insufficient capacity of rights-of-way. </w:t>
      </w:r>
      <w:r>
        <w:rPr>
          <w:rFonts w:ascii="Times New Roman" w:hAnsi="Times New Roman"/>
          <w:b w:val="false"/>
          <w:i w:val="false"/>
          <w:color w:val="000000"/>
          <w:sz w:val="24"/>
        </w:rPr>
        <w:t>The department may deny issuance of a permit if it determines there is insufficient room for additional utility facilities within the rights-of-way.</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5.</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115.7(10)</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115.7(10)</w:t>
      </w:r>
      <w:r>
        <w:rPr>
          <w:rFonts w:ascii="Times New Roman" w:hAnsi="Times New Roman"/>
          <w:b w:val="false"/>
          <w:i w:val="false"/>
          <w:color w:val="000000"/>
          <w:sz w:val="24"/>
        </w:rPr>
        <w:t> </w:t>
      </w:r>
      <w:r>
        <w:rPr>
          <w:rFonts w:ascii="Times New Roman" w:hAnsi="Times New Roman"/>
          <w:b w:val="false"/>
          <w:i/>
          <w:color w:val="000000"/>
          <w:sz w:val="24"/>
        </w:rPr>
        <w:t xml:space="preserve">Term of permit. </w:t>
      </w:r>
      <w:r>
        <w:rPr>
          <w:rFonts w:ascii="Times New Roman" w:hAnsi="Times New Roman"/>
          <w:b w:val="false"/>
          <w:i w:val="false"/>
          <w:color w:val="000000"/>
          <w:sz w:val="24"/>
        </w:rPr>
        <w:t xml:space="preserve">Except for permits for longitudinal occupancy of freeways as outlined in subrule </w:t>
      </w:r>
      <w:r>
        <w:rPr>
          <w:rFonts w:ascii="Times New Roman" w:hAnsi="Times New Roman"/>
          <w:b w:val="false"/>
          <w:i w:val="false"/>
          <w:strike/>
          <w:color w:val="000000"/>
          <w:sz w:val="24"/>
        </w:rPr>
        <w:t>115.15(11)</w:t>
      </w:r>
      <w:r>
        <w:rPr>
          <w:rFonts w:ascii="Times New Roman" w:hAnsi="Times New Roman"/>
          <w:b w:val="false"/>
          <w:i w:val="false"/>
          <w:color w:val="000000"/>
          <w:sz w:val="24"/>
          <w:u w:val="single"/>
        </w:rPr>
        <w:t> </w:t>
      </w:r>
      <w:hyperlink r:id="rId10">
        <w:r>
          <w:rPr>
            <w:rStyle w:val="Hyperlink"/>
            <w:rFonts w:ascii="Times New Roman" w:hAnsi="Times New Roman"/>
            <w:b w:val="false"/>
            <w:i w:val="false"/>
            <w:color w:val="000000"/>
            <w:sz w:val="24"/>
            <w:u w:val="single"/>
          </w:rPr>
          <w:t>115.15(13)</w:t>
        </w:r>
      </w:hyperlink>
      <w:r>
        <w:rPr>
          <w:rFonts w:ascii="Times New Roman" w:hAnsi="Times New Roman"/>
          <w:b w:val="false"/>
          <w:i w:val="false"/>
          <w:color w:val="000000"/>
          <w:sz w:val="24"/>
        </w:rPr>
        <w:t xml:space="preserve">, an issued permit will continue in perpetuity or until future maintenance or construction of the primary road requires an adjustment of the utility facility (more information contained in paragraph </w:t>
      </w:r>
      <w:r>
        <w:rPr>
          <w:rFonts w:ascii="Times New Roman" w:hAnsi="Times New Roman"/>
          <w:b w:val="false"/>
          <w:i w:val="false"/>
          <w:strike/>
          <w:color w:val="000000"/>
          <w:sz w:val="24"/>
        </w:rPr>
        <w:t>115.3(2)</w:t>
      </w:r>
      <w:r>
        <w:rPr>
          <w:rFonts w:ascii="Times New Roman" w:hAnsi="Times New Roman"/>
          <w:b w:val="false"/>
          <w:i/>
          <w:strike/>
          <w:color w:val="000000"/>
          <w:sz w:val="24"/>
        </w:rPr>
        <w:t>“b”</w:t>
      </w:r>
      <w:r>
        <w:rPr>
          <w:rFonts w:ascii="Times New Roman" w:hAnsi="Times New Roman"/>
          <w:b w:val="false"/>
          <w:i w:val="false"/>
          <w:color w:val="000000"/>
          <w:sz w:val="24"/>
          <w:u w:val="single"/>
        </w:rPr>
        <w:t> </w:t>
      </w:r>
      <w:hyperlink r:id="rId11">
        <w:r>
          <w:rPr>
            <w:rStyle w:val="Hyperlink"/>
            <w:rFonts w:ascii="Times New Roman" w:hAnsi="Times New Roman"/>
            <w:b w:val="false"/>
            <w:i w:val="false"/>
            <w:color w:val="000000"/>
            <w:sz w:val="24"/>
            <w:u w:val="single"/>
          </w:rPr>
          <w:t>115.3(3)</w:t>
        </w:r>
      </w:hyperlink>
      <w:r>
        <w:rPr>
          <w:rFonts w:ascii="Times New Roman" w:hAnsi="Times New Roman"/>
          <w:b w:val="false"/>
          <w:i/>
          <w:color w:val="000000"/>
          <w:sz w:val="24"/>
          <w:u w:val="single"/>
        </w:rPr>
        <w:t>“b”</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6.</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115.11(4)“a”</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utility owner is to pay to the department an attachment fee for attaching the utility owner’s utility facility to a primary road bridge. The attachment fee is $181.60 per bridge plus $0.99 times the weight of the attachment in pounds per foot times the length of the bridge in feet. The fee will increase 3 percent per year over the previous year after the base year of 2024. Additional fees may apply for longitudinal freeway occupancy (more information contained in subrule </w:t>
      </w:r>
      <w:r>
        <w:rPr>
          <w:rFonts w:ascii="Times New Roman" w:hAnsi="Times New Roman"/>
          <w:b w:val="false"/>
          <w:i w:val="false"/>
          <w:strike/>
          <w:color w:val="000000"/>
          <w:sz w:val="24"/>
        </w:rPr>
        <w:t>115.15(8)</w:t>
      </w:r>
      <w:r>
        <w:rPr>
          <w:rFonts w:ascii="Times New Roman" w:hAnsi="Times New Roman"/>
          <w:b w:val="false"/>
          <w:i w:val="false"/>
          <w:color w:val="000000"/>
          <w:sz w:val="24"/>
          <w:u w:val="single"/>
        </w:rPr>
        <w:t> </w:t>
      </w:r>
      <w:hyperlink r:id="rId12">
        <w:r>
          <w:rPr>
            <w:rStyle w:val="Hyperlink"/>
            <w:rFonts w:ascii="Times New Roman" w:hAnsi="Times New Roman"/>
            <w:b w:val="false"/>
            <w:i w:val="false"/>
            <w:color w:val="000000"/>
            <w:sz w:val="24"/>
            <w:u w:val="single"/>
          </w:rPr>
          <w:t>115.15(10)</w:t>
        </w:r>
      </w:hyperlink>
      <w:r>
        <w:rPr>
          <w:rFonts w:ascii="Times New Roman" w:hAnsi="Times New Roman"/>
          <w:b w:val="false"/>
          <w:i w:val="false"/>
          <w:color w:val="000000"/>
          <w:sz w:val="24"/>
        </w:rPr>
        <w:t xml:space="preserve">). The department maintains the current fee listing available on the department’s website at </w:t>
      </w:r>
      <w:hyperlink r:id="rId13">
        <w:r>
          <w:rPr>
            <w:rStyle w:val="Hyperlink"/>
            <w:rFonts w:ascii="Times New Roman" w:hAnsi="Times New Roman"/>
            <w:b w:val="false"/>
            <w:i w:val="false"/>
            <w:color w:val="000000"/>
            <w:sz w:val="24"/>
            <w:u w:val="single"/>
          </w:rPr>
          <w:t>www.iowadot.gov/consultants-contractors/right-way/utility-accommodation-coordination</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7.</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115.12(6)“c”</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More information is contained in subrule </w:t>
      </w:r>
      <w:r>
        <w:rPr>
          <w:rFonts w:ascii="Times New Roman" w:hAnsi="Times New Roman"/>
          <w:b w:val="false"/>
          <w:i w:val="false"/>
          <w:strike/>
          <w:color w:val="000000"/>
          <w:sz w:val="24"/>
        </w:rPr>
        <w:t>115.15(8)</w:t>
      </w:r>
      <w:r>
        <w:rPr>
          <w:rFonts w:ascii="Times New Roman" w:hAnsi="Times New Roman"/>
          <w:b w:val="false"/>
          <w:i w:val="false"/>
          <w:color w:val="000000"/>
          <w:sz w:val="24"/>
          <w:u w:val="single"/>
        </w:rPr>
        <w:t> </w:t>
      </w:r>
      <w:hyperlink r:id="rId14">
        <w:r>
          <w:rPr>
            <w:rStyle w:val="Hyperlink"/>
            <w:rFonts w:ascii="Times New Roman" w:hAnsi="Times New Roman"/>
            <w:b w:val="false"/>
            <w:i w:val="false"/>
            <w:color w:val="000000"/>
            <w:sz w:val="24"/>
            <w:u w:val="single"/>
          </w:rPr>
          <w:t>115.15(10)</w:t>
        </w:r>
      </w:hyperlink>
      <w:r>
        <w:rPr>
          <w:rFonts w:ascii="Times New Roman" w:hAnsi="Times New Roman"/>
          <w:b w:val="false"/>
          <w:i w:val="false"/>
          <w:color w:val="000000"/>
          <w:sz w:val="24"/>
        </w:rPr>
        <w:t xml:space="preserve"> regarding occupancy fees for longitudinal installations on freeways.</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8.</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761—115.13(306A)</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761—115.13</w:t>
      </w:r>
      <w:r>
        <w:rPr>
          <w:rFonts w:ascii="Times New Roman" w:hAnsi="Times New Roman"/>
          <w:b/>
          <w:i w:val="false"/>
          <w:color w:val="000000"/>
          <w:sz w:val="24"/>
        </w:rPr>
        <w:t xml:space="preserve">(306A) </w:t>
      </w:r>
      <w:r>
        <w:rPr>
          <w:rFonts w:ascii="Times New Roman" w:hAnsi="Times New Roman"/>
          <w:b/>
          <w:i w:val="false"/>
          <w:color w:val="000000"/>
          <w:sz w:val="24"/>
        </w:rPr>
        <w:t xml:space="preserve">Freeways.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115.13(1)</w:t>
      </w:r>
      <w:r>
        <w:rPr>
          <w:rFonts w:ascii="Times New Roman" w:hAnsi="Times New Roman"/>
          <w:b w:val="false"/>
          <w:i w:val="false"/>
          <w:color w:val="000000"/>
          <w:sz w:val="24"/>
        </w:rPr>
        <w:t> </w:t>
      </w:r>
      <w:r>
        <w:rPr>
          <w:rFonts w:ascii="Times New Roman" w:hAnsi="Times New Roman"/>
          <w:b w:val="false"/>
          <w:i/>
          <w:color w:val="000000"/>
          <w:sz w:val="24"/>
        </w:rPr>
        <w:t xml:space="preserve">Access to utility facilities occupying freeway rights-of-way.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Except for emergency work, access to utility facilities during utility construction or maintenance activities is to be obtained from </w:t>
      </w:r>
      <w:r>
        <w:rPr>
          <w:rFonts w:ascii="Times New Roman" w:hAnsi="Times New Roman"/>
          <w:b w:val="false"/>
          <w:i w:val="false"/>
          <w:strike/>
          <w:color w:val="000000"/>
          <w:sz w:val="24"/>
        </w:rPr>
        <w:t>the</w:t>
      </w:r>
      <w:r>
        <w:rPr>
          <w:rFonts w:ascii="Times New Roman" w:hAnsi="Times New Roman"/>
          <w:b w:val="false"/>
          <w:i w:val="false"/>
          <w:color w:val="000000"/>
          <w:sz w:val="24"/>
        </w:rPr>
        <w:t xml:space="preserve"> areas other than the freeway or its ramps. More information is contained in subrules </w:t>
      </w:r>
      <w:r>
        <w:rPr>
          <w:rFonts w:ascii="Times New Roman" w:hAnsi="Times New Roman"/>
          <w:b w:val="false"/>
          <w:i w:val="false"/>
          <w:color w:val="000000"/>
          <w:sz w:val="24"/>
        </w:rPr>
        <w:t>115.8(3)</w:t>
      </w:r>
      <w:r>
        <w:rPr>
          <w:rFonts w:ascii="Times New Roman" w:hAnsi="Times New Roman"/>
          <w:b w:val="false"/>
          <w:i w:val="false"/>
          <w:color w:val="000000"/>
          <w:sz w:val="24"/>
        </w:rPr>
        <w:t xml:space="preserve"> and </w:t>
      </w:r>
      <w:r>
        <w:rPr>
          <w:rFonts w:ascii="Times New Roman" w:hAnsi="Times New Roman"/>
          <w:b w:val="false"/>
          <w:i w:val="false"/>
          <w:color w:val="000000"/>
          <w:sz w:val="24"/>
        </w:rPr>
        <w:t>115.17(2)</w:t>
      </w:r>
      <w:r>
        <w:rPr>
          <w:rFonts w:ascii="Times New Roman" w:hAnsi="Times New Roman"/>
          <w:b w:val="false"/>
          <w:i w:val="false"/>
          <w:color w:val="000000"/>
          <w:sz w:val="24"/>
        </w:rPr>
        <w:t xml:space="preserve"> regarding emergency 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115.13(2)</w:t>
      </w:r>
      <w:r>
        <w:rPr>
          <w:rFonts w:ascii="Times New Roman" w:hAnsi="Times New Roman"/>
          <w:b w:val="false"/>
          <w:i w:val="false"/>
          <w:color w:val="000000"/>
          <w:sz w:val="24"/>
        </w:rPr>
        <w:t xml:space="preserve"> 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strike/>
          <w:color w:val="000000"/>
          <w:sz w:val="24"/>
        </w:rPr>
        <w:t>115.13(3)</w:t>
      </w:r>
      <w:r>
        <w:rPr>
          <w:rFonts w:ascii="Times New Roman" w:hAnsi="Times New Roman"/>
          <w:b w:val="false"/>
          <w:i w:val="false"/>
          <w:strike/>
          <w:color w:val="000000"/>
          <w:sz w:val="24"/>
        </w:rPr>
        <w:t> </w:t>
      </w:r>
      <w:r>
        <w:rPr>
          <w:rFonts w:ascii="Times New Roman" w:hAnsi="Times New Roman"/>
          <w:b w:val="false"/>
          <w:i/>
          <w:strike/>
          <w:color w:val="000000"/>
          <w:sz w:val="24"/>
        </w:rPr>
        <w:t xml:space="preserve">Aboveground appurtenances. </w:t>
      </w:r>
      <w:r>
        <w:rPr>
          <w:rFonts w:ascii="Times New Roman" w:hAnsi="Times New Roman"/>
          <w:b w:val="false"/>
          <w:i w:val="false"/>
          <w:strike/>
          <w:color w:val="000000"/>
          <w:sz w:val="24"/>
        </w:rPr>
        <w:t>Aboveground appurtenances, including but not limited to poles, guys and other supporting structures, are not allowed within the rights-of-way of freeways.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strike/>
          <w:color w:val="000000"/>
          <w:sz w:val="24"/>
        </w:rPr>
        <w:t>115.13(4)</w:t>
      </w:r>
      <w:r>
        <w:rPr>
          <w:rFonts w:ascii="Times New Roman" w:hAnsi="Times New Roman"/>
          <w:b w:val="false"/>
          <w:i w:val="false"/>
          <w:color w:val="000000"/>
          <w:sz w:val="24"/>
        </w:rPr>
        <w:t xml:space="preserve"> </w:t>
      </w:r>
      <w:r>
        <w:rPr>
          <w:rFonts w:ascii="Times New Roman" w:hAnsi="Times New Roman"/>
          <w:b/>
          <w:i w:val="false"/>
          <w:color w:val="000000"/>
          <w:sz w:val="24"/>
          <w:u w:val="single"/>
        </w:rPr>
        <w:t>115.13(3)</w:t>
      </w:r>
      <w:r>
        <w:rPr>
          <w:rFonts w:ascii="Times New Roman" w:hAnsi="Times New Roman"/>
          <w:b w:val="false"/>
          <w:i w:val="false"/>
          <w:color w:val="000000"/>
          <w:sz w:val="24"/>
        </w:rPr>
        <w:t> </w:t>
      </w:r>
      <w:r>
        <w:rPr>
          <w:rFonts w:ascii="Times New Roman" w:hAnsi="Times New Roman"/>
          <w:b w:val="false"/>
          <w:i/>
          <w:color w:val="000000"/>
          <w:sz w:val="24"/>
        </w:rPr>
        <w:t xml:space="preserve">Existing utility facilities.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conditions in paragraph </w:t>
      </w:r>
      <w:r>
        <w:rPr>
          <w:rFonts w:ascii="Times New Roman" w:hAnsi="Times New Roman"/>
          <w:b w:val="false"/>
          <w:i w:val="false"/>
          <w:strike/>
          <w:color w:val="000000"/>
          <w:sz w:val="24"/>
        </w:rPr>
        <w:t>115.13(4)</w:t>
      </w:r>
      <w:r>
        <w:rPr>
          <w:rFonts w:ascii="Times New Roman" w:hAnsi="Times New Roman"/>
          <w:b w:val="false"/>
          <w:i/>
          <w:strike/>
          <w:color w:val="000000"/>
          <w:sz w:val="24"/>
        </w:rPr>
        <w:t>“a”</w:t>
      </w:r>
      <w:r>
        <w:rPr>
          <w:rFonts w:ascii="Times New Roman" w:hAnsi="Times New Roman"/>
          <w:b w:val="false"/>
          <w:i w:val="false"/>
          <w:color w:val="000000"/>
          <w:sz w:val="24"/>
          <w:u w:val="single"/>
        </w:rPr>
        <w:t> </w:t>
      </w:r>
      <w:hyperlink r:id="rId15">
        <w:r>
          <w:rPr>
            <w:rStyle w:val="Hyperlink"/>
            <w:rFonts w:ascii="Times New Roman" w:hAnsi="Times New Roman"/>
            <w:b w:val="false"/>
            <w:i w:val="false"/>
            <w:color w:val="000000"/>
            <w:sz w:val="24"/>
            <w:u w:val="single"/>
          </w:rPr>
          <w:t>115.13(3)</w:t>
        </w:r>
      </w:hyperlink>
      <w:r>
        <w:rPr>
          <w:rFonts w:ascii="Times New Roman" w:hAnsi="Times New Roman"/>
          <w:b w:val="false"/>
          <w:i/>
          <w:color w:val="000000"/>
          <w:sz w:val="24"/>
          <w:u w:val="single"/>
        </w:rPr>
        <w:t>“a”</w:t>
      </w:r>
      <w:r>
        <w:rPr>
          <w:rFonts w:ascii="Times New Roman" w:hAnsi="Times New Roman"/>
          <w:b w:val="false"/>
          <w:i w:val="false"/>
          <w:color w:val="000000"/>
          <w:sz w:val="24"/>
        </w:rPr>
        <w:t xml:space="preserve"> are not met, the department may request the utility facility be relocated outside the freeway rights-of-way.</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9.</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115.14(2)</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115.14(2)</w:t>
      </w:r>
      <w:r>
        <w:rPr>
          <w:rFonts w:ascii="Times New Roman" w:hAnsi="Times New Roman"/>
          <w:b w:val="false"/>
          <w:i w:val="false"/>
          <w:color w:val="000000"/>
          <w:sz w:val="24"/>
        </w:rPr>
        <w:t> </w:t>
      </w:r>
      <w:r>
        <w:rPr>
          <w:rFonts w:ascii="Times New Roman" w:hAnsi="Times New Roman"/>
          <w:b w:val="false"/>
          <w:i/>
          <w:color w:val="000000"/>
          <w:sz w:val="24"/>
        </w:rPr>
        <w:t>Aboveground installations</w:t>
      </w:r>
      <w:r>
        <w:rPr>
          <w:rFonts w:ascii="Times New Roman" w:hAnsi="Times New Roman"/>
          <w:b w:val="false"/>
          <w:i/>
          <w:color w:val="000000"/>
          <w:sz w:val="24"/>
          <w:u w:val="single"/>
        </w:rPr>
        <w:t>—transverse installations on freeways</w:t>
      </w:r>
      <w:r>
        <w:rPr>
          <w:rFonts w:ascii="Times New Roman" w:hAnsi="Times New Roman"/>
          <w:b w:val="false"/>
          <w:i/>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b.</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The location of aboveground appurtenances, including but not limited to guys and other supporting structures, must be approved by the district representative.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strike/>
          <w:color w:val="000000"/>
          <w:sz w:val="24"/>
        </w:rPr>
        <w:t>b.</w:t>
      </w:r>
      <w:r>
        <w:rPr>
          <w:rFonts w:ascii="Times New Roman" w:hAnsi="Times New Roman"/>
          <w:b w:val="false"/>
          <w:i w:val="false"/>
          <w:color w:val="000000"/>
          <w:sz w:val="24"/>
        </w:rPr>
        <w:t xml:space="preserve"> </w:t>
      </w:r>
      <w:r>
        <w:rPr>
          <w:rFonts w:ascii="Times New Roman" w:hAnsi="Times New Roman"/>
          <w:b w:val="false"/>
          <w:i/>
          <w:color w:val="000000"/>
          <w:sz w:val="24"/>
          <w:u w:val="single"/>
        </w:rPr>
        <w:t>c.</w:t>
      </w:r>
      <w:r>
        <w:rPr>
          <w:rFonts w:ascii="Times New Roman" w:hAnsi="Times New Roman"/>
          <w:b w:val="false"/>
          <w:i w:val="false"/>
          <w:color w:val="000000"/>
          <w:sz w:val="24"/>
        </w:rPr>
        <w:t>Within interchange areas: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Overhead lines are to be constructed on tangent, parallel to the intersecting road, without guys or anchors being placed in the areas between the ramps and the main freeway</w:t>
      </w:r>
      <w:r>
        <w:rPr>
          <w:rFonts w:ascii="Times New Roman" w:hAnsi="Times New Roman"/>
          <w:b w:val="false"/>
          <w:i w:val="false"/>
          <w:color w:val="000000"/>
          <w:sz w:val="24"/>
          <w:u w:val="single"/>
        </w:rPr>
        <w:t>, and located outside the working area of cranes or similar equipment that are anticipated to operate near and adjacent to proposed bridges or structures</w:t>
      </w:r>
      <w:r>
        <w:rPr>
          <w:rFonts w:ascii="Times New Roman" w:hAnsi="Times New Roman"/>
          <w:b w:val="false"/>
          <w:i w:val="false"/>
          <w:color w:val="000000"/>
          <w:sz w:val="24"/>
        </w:rPr>
        <w:t>. Guy poles are to be located as near to the freeway rights-of-way line as practical.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Poles are to be located outside the clear zone and situated as far from the main freeway and ramps and as close to the toe of foreslope of the intersecting road as practical but shall remain outside the clear zone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and outside the working area of cranes or similar equipment that are anticipated to operate near and adjacent to proposed bridges or structures</w:t>
      </w:r>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10.</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761—115.15(306A,314)</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761—115.15</w:t>
      </w:r>
      <w:r>
        <w:rPr>
          <w:rFonts w:ascii="Times New Roman" w:hAnsi="Times New Roman"/>
          <w:b/>
          <w:i w:val="false"/>
          <w:color w:val="000000"/>
          <w:sz w:val="24"/>
        </w:rPr>
        <w:t>(</w:t>
      </w:r>
      <w:r>
        <w:rPr>
          <w:rFonts w:ascii="Times New Roman" w:hAnsi="Times New Roman"/>
          <w:b/>
          <w:i w:val="false"/>
          <w:color w:val="000000"/>
          <w:sz w:val="24"/>
          <w:u w:val="single"/>
        </w:rPr>
        <w:t>306,</w:t>
      </w:r>
      <w:r>
        <w:rPr>
          <w:rFonts w:ascii="Times New Roman" w:hAnsi="Times New Roman"/>
          <w:b/>
          <w:i w:val="false"/>
          <w:color w:val="000000"/>
          <w:sz w:val="24"/>
        </w:rPr>
        <w:t xml:space="preserve">306A,314) </w:t>
      </w:r>
      <w:r>
        <w:rPr>
          <w:rFonts w:ascii="Times New Roman" w:hAnsi="Times New Roman"/>
          <w:b/>
          <w:i w:val="false"/>
          <w:color w:val="000000"/>
          <w:sz w:val="24"/>
        </w:rPr>
        <w:t xml:space="preserve">Longitudinal installations on freeways.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115.15(1)</w:t>
      </w:r>
      <w:r>
        <w:rPr>
          <w:rFonts w:ascii="Times New Roman" w:hAnsi="Times New Roman"/>
          <w:b w:val="false"/>
          <w:i w:val="false"/>
          <w:color w:val="000000"/>
          <w:sz w:val="24"/>
        </w:rPr>
        <w:t> </w:t>
      </w:r>
      <w:r>
        <w:rPr>
          <w:rFonts w:ascii="Times New Roman" w:hAnsi="Times New Roman"/>
          <w:b w:val="false"/>
          <w:i/>
          <w:color w:val="000000"/>
          <w:sz w:val="24"/>
        </w:rPr>
        <w:t xml:space="preserve">Type of installation permitted.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 and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strike/>
          <w:color w:val="000000"/>
          <w:sz w:val="24"/>
        </w:rPr>
        <w:t>If the department determines that an aboveground installation is necessary to advance the state’s priorities, can be installed safely with minimal impact on the traveling public, can be safely accommodated within existing right-of-way, is along a roadway that is not anticipated to require additional right-of-way for future improvements in the foreseeable future, and extends for a relatively short distance, the department may permit installation with proper justification.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Longitudinal transmission lines may be authorized to be installed on freeway rights-of-way upon written request by a utility owner or transmission line developer unless the department determines such an installation would endanger public safety or interfere with the proper function and use of the highway.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u w:val="single"/>
        </w:rPr>
        <w:t>115.15(2)</w:t>
      </w:r>
      <w:r>
        <w:rPr>
          <w:rFonts w:ascii="Times New Roman" w:hAnsi="Times New Roman"/>
          <w:b w:val="false"/>
          <w:i w:val="false"/>
          <w:color w:val="000000"/>
          <w:sz w:val="24"/>
          <w:u w:val="single"/>
        </w:rPr>
        <w:t> </w:t>
      </w:r>
      <w:r>
        <w:rPr>
          <w:rFonts w:ascii="Times New Roman" w:hAnsi="Times New Roman"/>
          <w:b w:val="false"/>
          <w:i/>
          <w:color w:val="000000"/>
          <w:sz w:val="24"/>
          <w:u w:val="single"/>
        </w:rPr>
        <w:t xml:space="preserve">Assignment of project coordinator. </w:t>
      </w:r>
      <w:r>
        <w:rPr>
          <w:rFonts w:ascii="Times New Roman" w:hAnsi="Times New Roman"/>
          <w:b w:val="false"/>
          <w:i w:val="false"/>
          <w:color w:val="000000"/>
          <w:sz w:val="24"/>
          <w:u w:val="single"/>
        </w:rPr>
        <w:t>Upon written request by a utility owner or transmission line developer to review a highway corridor for potential electric transmission line placement, the department shall assign a dedicated project coordinator within 30 days of receiving the request to manage ongoing coordination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strike/>
          <w:color w:val="000000"/>
          <w:sz w:val="24"/>
        </w:rPr>
        <w:t>115.15(2)</w:t>
      </w:r>
      <w:r>
        <w:rPr>
          <w:rFonts w:ascii="Times New Roman" w:hAnsi="Times New Roman"/>
          <w:b w:val="false"/>
          <w:i w:val="false"/>
          <w:color w:val="000000"/>
          <w:sz w:val="24"/>
        </w:rPr>
        <w:t xml:space="preserve"> </w:t>
      </w:r>
      <w:r>
        <w:rPr>
          <w:rFonts w:ascii="Times New Roman" w:hAnsi="Times New Roman"/>
          <w:b/>
          <w:i w:val="false"/>
          <w:color w:val="000000"/>
          <w:sz w:val="24"/>
          <w:u w:val="single"/>
        </w:rPr>
        <w:t>115.15(3)</w:t>
      </w:r>
      <w:r>
        <w:rPr>
          <w:rFonts w:ascii="Times New Roman" w:hAnsi="Times New Roman"/>
          <w:b w:val="false"/>
          <w:i w:val="false"/>
          <w:color w:val="000000"/>
          <w:sz w:val="24"/>
        </w:rPr>
        <w:t> </w:t>
      </w:r>
      <w:r>
        <w:rPr>
          <w:rFonts w:ascii="Times New Roman" w:hAnsi="Times New Roman"/>
          <w:b w:val="false"/>
          <w:i/>
          <w:color w:val="000000"/>
          <w:sz w:val="24"/>
        </w:rPr>
        <w:t xml:space="preserve">Prohibitions on longitudinal occupancy.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u w:val="single"/>
        </w:rPr>
        <w:t>115.15(4)</w:t>
      </w:r>
      <w:r>
        <w:rPr>
          <w:rFonts w:ascii="Times New Roman" w:hAnsi="Times New Roman"/>
          <w:b w:val="false"/>
          <w:i w:val="false"/>
          <w:color w:val="000000"/>
          <w:sz w:val="24"/>
          <w:u w:val="single"/>
        </w:rPr>
        <w:t> </w:t>
      </w:r>
      <w:r>
        <w:rPr>
          <w:rFonts w:ascii="Times New Roman" w:hAnsi="Times New Roman"/>
          <w:b w:val="false"/>
          <w:i/>
          <w:color w:val="000000"/>
          <w:sz w:val="24"/>
          <w:u w:val="single"/>
        </w:rPr>
        <w:t xml:space="preserve">Denial of longitudinal electric transmission installations. </w:t>
      </w:r>
      <w:r>
        <w:rPr>
          <w:rFonts w:ascii="Times New Roman" w:hAnsi="Times New Roman"/>
          <w:b w:val="false"/>
          <w:i w:val="false"/>
          <w:color w:val="000000"/>
          <w:sz w:val="24"/>
          <w:u w:val="single"/>
        </w:rPr>
        <w:t>If the department denies the request, the department shall make the written reason for denying the installation available to the public and the requesting party within 90 days of receiving the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strike/>
          <w:color w:val="000000"/>
          <w:sz w:val="24"/>
        </w:rPr>
        <w:t>115.15(3)</w:t>
      </w:r>
      <w:r>
        <w:rPr>
          <w:rFonts w:ascii="Times New Roman" w:hAnsi="Times New Roman"/>
          <w:b w:val="false"/>
          <w:i w:val="false"/>
          <w:color w:val="000000"/>
          <w:sz w:val="24"/>
        </w:rPr>
        <w:t xml:space="preserve"> </w:t>
      </w:r>
      <w:r>
        <w:rPr>
          <w:rFonts w:ascii="Times New Roman" w:hAnsi="Times New Roman"/>
          <w:b/>
          <w:i w:val="false"/>
          <w:color w:val="000000"/>
          <w:sz w:val="24"/>
          <w:u w:val="single"/>
        </w:rPr>
        <w:t>115.15(5)</w:t>
      </w:r>
      <w:r>
        <w:rPr>
          <w:rFonts w:ascii="Times New Roman" w:hAnsi="Times New Roman"/>
          <w:b w:val="false"/>
          <w:i w:val="false"/>
          <w:color w:val="000000"/>
          <w:sz w:val="24"/>
        </w:rPr>
        <w:t> </w:t>
      </w:r>
      <w:r>
        <w:rPr>
          <w:rFonts w:ascii="Times New Roman" w:hAnsi="Times New Roman"/>
          <w:b w:val="false"/>
          <w:i/>
          <w:color w:val="000000"/>
          <w:sz w:val="24"/>
        </w:rPr>
        <w:t xml:space="preserve">Minimal maintenance. </w:t>
      </w:r>
      <w:r>
        <w:rPr>
          <w:rFonts w:ascii="Times New Roman" w:hAnsi="Times New Roman"/>
          <w:b w:val="false"/>
          <w:i w:val="false"/>
          <w:color w:val="000000"/>
          <w:sz w:val="24"/>
        </w:rPr>
        <w:t>Once installed, the utility facility should require minimal maintenance.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strike/>
          <w:color w:val="000000"/>
          <w:sz w:val="24"/>
        </w:rPr>
        <w:t>115.15(4)</w:t>
      </w:r>
      <w:r>
        <w:rPr>
          <w:rFonts w:ascii="Times New Roman" w:hAnsi="Times New Roman"/>
          <w:b w:val="false"/>
          <w:i w:val="false"/>
          <w:color w:val="000000"/>
          <w:sz w:val="24"/>
        </w:rPr>
        <w:t xml:space="preserve"> </w:t>
      </w:r>
      <w:r>
        <w:rPr>
          <w:rFonts w:ascii="Times New Roman" w:hAnsi="Times New Roman"/>
          <w:b/>
          <w:i w:val="false"/>
          <w:color w:val="000000"/>
          <w:sz w:val="24"/>
          <w:u w:val="single"/>
        </w:rPr>
        <w:t>115.15(6)</w:t>
      </w:r>
      <w:r>
        <w:rPr>
          <w:rFonts w:ascii="Times New Roman" w:hAnsi="Times New Roman"/>
          <w:b w:val="false"/>
          <w:i w:val="false"/>
          <w:color w:val="000000"/>
          <w:sz w:val="24"/>
        </w:rPr>
        <w:t> </w:t>
      </w:r>
      <w:r>
        <w:rPr>
          <w:rFonts w:ascii="Times New Roman" w:hAnsi="Times New Roman"/>
          <w:b w:val="false"/>
          <w:i/>
          <w:color w:val="000000"/>
          <w:sz w:val="24"/>
        </w:rPr>
        <w:t xml:space="preserve">Location and depth. </w:t>
      </w:r>
      <w:r>
        <w:rPr>
          <w:rFonts w:ascii="Times New Roman" w:hAnsi="Times New Roman"/>
          <w:b w:val="false"/>
          <w:i w:val="false"/>
          <w:color w:val="000000"/>
          <w:sz w:val="24"/>
        </w:rPr>
        <w:t>The utility facility should be located on uniform alignment, preferably within 8 feet of the freeway rights-of-way line, and at a location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strike/>
          <w:color w:val="000000"/>
          <w:sz w:val="24"/>
        </w:rPr>
        <w:t>115.15(5)</w:t>
      </w:r>
      <w:r>
        <w:rPr>
          <w:rFonts w:ascii="Times New Roman" w:hAnsi="Times New Roman"/>
          <w:b w:val="false"/>
          <w:i w:val="false"/>
          <w:color w:val="000000"/>
          <w:sz w:val="24"/>
        </w:rPr>
        <w:t xml:space="preserve"> </w:t>
      </w:r>
      <w:r>
        <w:rPr>
          <w:rFonts w:ascii="Times New Roman" w:hAnsi="Times New Roman"/>
          <w:b/>
          <w:i w:val="false"/>
          <w:color w:val="000000"/>
          <w:sz w:val="24"/>
          <w:u w:val="single"/>
        </w:rPr>
        <w:t>115.15(7)</w:t>
      </w:r>
      <w:r>
        <w:rPr>
          <w:rFonts w:ascii="Times New Roman" w:hAnsi="Times New Roman"/>
          <w:b w:val="false"/>
          <w:i w:val="false"/>
          <w:color w:val="000000"/>
          <w:sz w:val="24"/>
        </w:rPr>
        <w:t> </w:t>
      </w:r>
      <w:r>
        <w:rPr>
          <w:rFonts w:ascii="Times New Roman" w:hAnsi="Times New Roman"/>
          <w:b w:val="false"/>
          <w:i/>
          <w:strike/>
          <w:color w:val="000000"/>
          <w:sz w:val="24"/>
        </w:rPr>
        <w:t>Pedestals, cabinets, vaults, hand holes, repeater stations or similar appurtenances.</w:t>
      </w:r>
      <w:r>
        <w:rPr>
          <w:rFonts w:ascii="Times New Roman" w:hAnsi="Times New Roman"/>
          <w:b w:val="false"/>
          <w:i/>
          <w:color w:val="000000"/>
          <w:sz w:val="24"/>
          <w:u w:val="single"/>
        </w:rPr>
        <w:t> </w:t>
      </w:r>
      <w:r>
        <w:rPr>
          <w:rFonts w:ascii="Times New Roman" w:hAnsi="Times New Roman"/>
          <w:b w:val="false"/>
          <w:i/>
          <w:color w:val="000000"/>
          <w:sz w:val="24"/>
          <w:u w:val="single"/>
        </w:rPr>
        <w:t>Aboveground installations—longitudinal installations on freeways.</w:t>
      </w:r>
      <w:r>
        <w:rPr>
          <w:rFonts w:ascii="Times New Roman" w:hAnsi="Times New Roman"/>
          <w:b w:val="false"/>
          <w:i/>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a.</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Single-pole construction should be used, with the number of poles kept to a minimum.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b.</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The location of aboveground appurtenances, including but not limited to guys and other supporting structures, must be approved by the district representative.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c.</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Overhead lines should be constructed on a tangent, parallel to the road, without guys or anchors, and located outside the working area of cranes or similar equipment that are anticipated to operate near and adjacent to proposed bridges or structures.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d.</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Poles are to be located outside the clear zone, situated as far as practical from the main freeway and ramps, and outside the working area of cranes or similar equipment that are anticipated to operate near and adjacent to proposed bridges or structures.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e.</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For intersecting roadways, bridges, or structures, poles are to be located as close to the toe of foreslope of the intersecting road as practical but shall remain outside the clear zone and outside the working area of cranes or similar equipment that are anticipated to operate near and adjacent to proposed bridges or structures.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f.</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The use of self-supporting poles or towers, double arming and insulators, breakaway devices and dead-end construction should be considered.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strike/>
          <w:color w:val="000000"/>
          <w:sz w:val="24"/>
        </w:rPr>
        <w:t>a.</w:t>
      </w:r>
      <w:r>
        <w:rPr>
          <w:rFonts w:ascii="Times New Roman" w:hAnsi="Times New Roman"/>
          <w:b w:val="false"/>
          <w:i w:val="false"/>
          <w:color w:val="000000"/>
          <w:sz w:val="24"/>
        </w:rPr>
        <w:t xml:space="preserve"> </w:t>
      </w:r>
      <w:r>
        <w:rPr>
          <w:rFonts w:ascii="Times New Roman" w:hAnsi="Times New Roman"/>
          <w:b w:val="false"/>
          <w:i/>
          <w:color w:val="000000"/>
          <w:sz w:val="24"/>
          <w:u w:val="single"/>
        </w:rPr>
        <w:t>g.</w:t>
      </w:r>
      <w:r>
        <w:rPr>
          <w:rFonts w:ascii="Times New Roman" w:hAnsi="Times New Roman"/>
          <w:b w:val="false"/>
          <w:i w:val="false"/>
          <w:color w:val="000000"/>
          <w:sz w:val="24"/>
        </w:rPr>
        <w:t>Aboveground pedestals are permissible. All pedestals, cabinets, vaults, hand holes or similar appurtenances should be placed one foot from the right-of-way fence. The number of installations is subject to district representative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strike/>
          <w:color w:val="000000"/>
          <w:sz w:val="24"/>
        </w:rPr>
        <w:t>b.</w:t>
      </w:r>
      <w:r>
        <w:rPr>
          <w:rFonts w:ascii="Times New Roman" w:hAnsi="Times New Roman"/>
          <w:b w:val="false"/>
          <w:i w:val="false"/>
          <w:color w:val="000000"/>
          <w:sz w:val="24"/>
        </w:rPr>
        <w:t xml:space="preserve"> </w:t>
      </w:r>
      <w:r>
        <w:rPr>
          <w:rFonts w:ascii="Times New Roman" w:hAnsi="Times New Roman"/>
          <w:b w:val="false"/>
          <w:i/>
          <w:color w:val="000000"/>
          <w:sz w:val="24"/>
          <w:u w:val="single"/>
        </w:rPr>
        <w:t>h.</w:t>
      </w:r>
      <w:r>
        <w:rPr>
          <w:rFonts w:ascii="Times New Roman" w:hAnsi="Times New Roman"/>
          <w:b w:val="false"/>
          <w:i w:val="false"/>
          <w:color w:val="000000"/>
          <w:sz w:val="24"/>
        </w:rPr>
        <w:t>Repeater stations are not allowed in the rights-of-way.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strike/>
          <w:color w:val="000000"/>
          <w:sz w:val="24"/>
        </w:rPr>
        <w:t>115.15(6)</w:t>
      </w:r>
      <w:r>
        <w:rPr>
          <w:rFonts w:ascii="Times New Roman" w:hAnsi="Times New Roman"/>
          <w:b w:val="false"/>
          <w:i w:val="false"/>
          <w:color w:val="000000"/>
          <w:sz w:val="24"/>
        </w:rPr>
        <w:t xml:space="preserve"> </w:t>
      </w:r>
      <w:r>
        <w:rPr>
          <w:rFonts w:ascii="Times New Roman" w:hAnsi="Times New Roman"/>
          <w:b/>
          <w:i w:val="false"/>
          <w:color w:val="000000"/>
          <w:sz w:val="24"/>
          <w:u w:val="single"/>
        </w:rPr>
        <w:t>115.15(8)</w:t>
      </w:r>
      <w:r>
        <w:rPr>
          <w:rFonts w:ascii="Times New Roman" w:hAnsi="Times New Roman"/>
          <w:b w:val="false"/>
          <w:i w:val="false"/>
          <w:color w:val="000000"/>
          <w:sz w:val="24"/>
        </w:rPr>
        <w:t> </w:t>
      </w:r>
      <w:r>
        <w:rPr>
          <w:rFonts w:ascii="Times New Roman" w:hAnsi="Times New Roman"/>
          <w:b w:val="false"/>
          <w:i/>
          <w:color w:val="000000"/>
          <w:sz w:val="24"/>
        </w:rPr>
        <w:t xml:space="preserve">Metallic warning tape. </w:t>
      </w:r>
      <w:r>
        <w:rPr>
          <w:rFonts w:ascii="Times New Roman" w:hAnsi="Times New Roman"/>
          <w:b w:val="false"/>
          <w:i w:val="false"/>
          <w:color w:val="000000"/>
          <w:sz w:val="24"/>
        </w:rPr>
        <w:t xml:space="preserve">Metallic warning tape is to be installed a minimum of 12 inches below the existing grade and above </w:t>
      </w:r>
      <w:r>
        <w:rPr>
          <w:rFonts w:ascii="Times New Roman" w:hAnsi="Times New Roman"/>
          <w:b w:val="false"/>
          <w:i w:val="false"/>
          <w:strike/>
          <w:color w:val="000000"/>
          <w:sz w:val="24"/>
        </w:rPr>
        <w:t>the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underground</w:t>
      </w:r>
      <w:r>
        <w:rPr>
          <w:rFonts w:ascii="Times New Roman" w:hAnsi="Times New Roman"/>
          <w:b w:val="false"/>
          <w:i w:val="false"/>
          <w:color w:val="000000"/>
          <w:sz w:val="24"/>
        </w:rPr>
        <w:t xml:space="preserve"> utility </w:t>
      </w:r>
      <w:r>
        <w:rPr>
          <w:rFonts w:ascii="Times New Roman" w:hAnsi="Times New Roman"/>
          <w:b w:val="false"/>
          <w:i w:val="false"/>
          <w:strike/>
          <w:color w:val="000000"/>
          <w:sz w:val="24"/>
        </w:rPr>
        <w:t>installation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installations</w:t>
      </w:r>
      <w:r>
        <w:rPr>
          <w:rFonts w:ascii="Times New Roman" w:hAnsi="Times New Roman"/>
          <w:b w:val="false"/>
          <w:i w:val="false"/>
          <w:color w:val="000000"/>
          <w:sz w:val="24"/>
        </w:rPr>
        <w:t xml:space="preserve"> unless installation is done by directional boring or other trenchless methods.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strike/>
          <w:color w:val="000000"/>
          <w:sz w:val="24"/>
        </w:rPr>
        <w:t>115.15(7)</w:t>
      </w:r>
      <w:r>
        <w:rPr>
          <w:rFonts w:ascii="Times New Roman" w:hAnsi="Times New Roman"/>
          <w:b w:val="false"/>
          <w:i w:val="false"/>
          <w:color w:val="000000"/>
          <w:sz w:val="24"/>
        </w:rPr>
        <w:t xml:space="preserve"> </w:t>
      </w:r>
      <w:r>
        <w:rPr>
          <w:rFonts w:ascii="Times New Roman" w:hAnsi="Times New Roman"/>
          <w:b/>
          <w:i w:val="false"/>
          <w:color w:val="000000"/>
          <w:sz w:val="24"/>
          <w:u w:val="single"/>
        </w:rPr>
        <w:t>115.15(9)</w:t>
      </w:r>
      <w:r>
        <w:rPr>
          <w:rFonts w:ascii="Times New Roman" w:hAnsi="Times New Roman"/>
          <w:b w:val="false"/>
          <w:i w:val="false"/>
          <w:color w:val="000000"/>
          <w:sz w:val="24"/>
        </w:rPr>
        <w:t> </w:t>
      </w:r>
      <w:r>
        <w:rPr>
          <w:rFonts w:ascii="Times New Roman" w:hAnsi="Times New Roman"/>
          <w:b w:val="false"/>
          <w:i/>
          <w:color w:val="000000"/>
          <w:sz w:val="24"/>
        </w:rPr>
        <w:t xml:space="preserve">Engineering. </w:t>
      </w:r>
      <w:r>
        <w:rPr>
          <w:rFonts w:ascii="Times New Roman" w:hAnsi="Times New Roman"/>
          <w:b w:val="false"/>
          <w:i w:val="false"/>
          <w:color w:val="000000"/>
          <w:sz w:val="24"/>
        </w:rPr>
        <w:t>The utility owner is to retain the services of a licensed, professional engineer familiar with the requirements for utility work to be accomplished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strike/>
          <w:color w:val="000000"/>
          <w:sz w:val="24"/>
        </w:rPr>
        <w:t>115.15(8)</w:t>
      </w:r>
      <w:r>
        <w:rPr>
          <w:rFonts w:ascii="Times New Roman" w:hAnsi="Times New Roman"/>
          <w:b w:val="false"/>
          <w:i w:val="false"/>
          <w:color w:val="000000"/>
          <w:sz w:val="24"/>
        </w:rPr>
        <w:t xml:space="preserve"> </w:t>
      </w:r>
      <w:r>
        <w:rPr>
          <w:rFonts w:ascii="Times New Roman" w:hAnsi="Times New Roman"/>
          <w:b/>
          <w:i w:val="false"/>
          <w:color w:val="000000"/>
          <w:sz w:val="24"/>
          <w:u w:val="single"/>
        </w:rPr>
        <w:t>115.15(10)</w:t>
      </w:r>
      <w:r>
        <w:rPr>
          <w:rFonts w:ascii="Times New Roman" w:hAnsi="Times New Roman"/>
          <w:b w:val="false"/>
          <w:i w:val="false"/>
          <w:color w:val="000000"/>
          <w:sz w:val="24"/>
        </w:rPr>
        <w:t> </w:t>
      </w:r>
      <w:r>
        <w:rPr>
          <w:rFonts w:ascii="Times New Roman" w:hAnsi="Times New Roman"/>
          <w:b w:val="false"/>
          <w:i/>
          <w:color w:val="000000"/>
          <w:sz w:val="24"/>
        </w:rPr>
        <w:t xml:space="preserve">Occupancy fee. </w:t>
      </w:r>
      <w:r>
        <w:rPr>
          <w:rFonts w:ascii="Times New Roman" w:hAnsi="Times New Roman"/>
          <w:b w:val="false"/>
          <w:i w:val="false"/>
          <w:color w:val="000000"/>
          <w:sz w:val="24"/>
        </w:rPr>
        <w:t xml:space="preserve">The utility owner is to pay to the department an annual fee for longitudinal occupancy of the freeway rights-of-way in accordance with Iowa Code section </w:t>
      </w:r>
      <w:hyperlink r:id="rId16">
        <w:r>
          <w:rPr>
            <w:rStyle w:val="Hyperlink"/>
            <w:rFonts w:ascii="Times New Roman" w:hAnsi="Times New Roman"/>
            <w:b w:val="false"/>
            <w:i w:val="false"/>
            <w:color w:val="000000"/>
            <w:sz w:val="24"/>
          </w:rPr>
          <w:t>314.20</w:t>
        </w:r>
      </w:hyperlink>
      <w:r>
        <w:rPr>
          <w:rFonts w:ascii="Times New Roman" w:hAnsi="Times New Roman"/>
          <w:b w:val="false"/>
          <w:i w:val="false"/>
          <w:color w:val="000000"/>
          <w:sz w:val="24"/>
        </w:rPr>
        <w:t xml:space="preserve">. The initial fee is due before any construction work commences within the rights-of-way. Additional fees may apply for bridge attachments (more information is contained in subrule </w:t>
      </w:r>
      <w:r>
        <w:rPr>
          <w:rFonts w:ascii="Times New Roman" w:hAnsi="Times New Roman"/>
          <w:b w:val="false"/>
          <w:i w:val="false"/>
          <w:color w:val="000000"/>
          <w:sz w:val="24"/>
        </w:rPr>
        <w:t>115.11(4)</w:t>
      </w:r>
      <w:r>
        <w:rPr>
          <w:rFonts w:ascii="Times New Roman" w:hAnsi="Times New Roman"/>
          <w:b w:val="false"/>
          <w:i w:val="false"/>
          <w:color w:val="000000"/>
          <w:sz w:val="24"/>
        </w:rPr>
        <w:t xml:space="preserve">). The department maintains the current fee listing available on the department’s website at </w:t>
      </w:r>
      <w:hyperlink r:id="rId17">
        <w:r>
          <w:rPr>
            <w:rStyle w:val="Hyperlink"/>
            <w:rFonts w:ascii="Times New Roman" w:hAnsi="Times New Roman"/>
            <w:b w:val="false"/>
            <w:i w:val="false"/>
            <w:color w:val="000000"/>
            <w:sz w:val="24"/>
            <w:u w:val="single"/>
          </w:rPr>
          <w:t>www.iowadot.gov/consultants-contractors/right-way/utility-accommodation-coordination</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strike/>
          <w:color w:val="000000"/>
          <w:sz w:val="24"/>
        </w:rPr>
        <w:t>115.15(9)</w:t>
      </w:r>
      <w:r>
        <w:rPr>
          <w:rFonts w:ascii="Times New Roman" w:hAnsi="Times New Roman"/>
          <w:b w:val="false"/>
          <w:i w:val="false"/>
          <w:color w:val="000000"/>
          <w:sz w:val="24"/>
        </w:rPr>
        <w:t xml:space="preserve"> </w:t>
      </w:r>
      <w:r>
        <w:rPr>
          <w:rFonts w:ascii="Times New Roman" w:hAnsi="Times New Roman"/>
          <w:b/>
          <w:i w:val="false"/>
          <w:color w:val="000000"/>
          <w:sz w:val="24"/>
          <w:u w:val="single"/>
        </w:rPr>
        <w:t>115.15(11)</w:t>
      </w:r>
      <w:r>
        <w:rPr>
          <w:rFonts w:ascii="Times New Roman" w:hAnsi="Times New Roman"/>
          <w:b w:val="false"/>
          <w:i w:val="false"/>
          <w:color w:val="000000"/>
          <w:sz w:val="24"/>
        </w:rPr>
        <w:t> </w:t>
      </w:r>
      <w:r>
        <w:rPr>
          <w:rFonts w:ascii="Times New Roman" w:hAnsi="Times New Roman"/>
          <w:b w:val="false"/>
          <w:i/>
          <w:color w:val="000000"/>
          <w:sz w:val="24"/>
        </w:rPr>
        <w:t xml:space="preserve">Performance bond. </w:t>
      </w:r>
      <w:r>
        <w:rPr>
          <w:rFonts w:ascii="Times New Roman" w:hAnsi="Times New Roman"/>
          <w:b w:val="false"/>
          <w:i w:val="false"/>
          <w:color w:val="000000"/>
          <w:sz w:val="24"/>
        </w:rPr>
        <w:t>The utility owner is to file a performance bond with the department prior to commencing work within the freeway rights-of-way.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 and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strike/>
          <w:color w:val="000000"/>
          <w:sz w:val="24"/>
        </w:rPr>
        <w:t>115.15(10)</w:t>
      </w:r>
      <w:r>
        <w:rPr>
          <w:rFonts w:ascii="Times New Roman" w:hAnsi="Times New Roman"/>
          <w:b w:val="false"/>
          <w:i w:val="false"/>
          <w:color w:val="000000"/>
          <w:sz w:val="24"/>
        </w:rPr>
        <w:t xml:space="preserve"> </w:t>
      </w:r>
      <w:r>
        <w:rPr>
          <w:rFonts w:ascii="Times New Roman" w:hAnsi="Times New Roman"/>
          <w:b/>
          <w:i w:val="false"/>
          <w:color w:val="000000"/>
          <w:sz w:val="24"/>
          <w:u w:val="single"/>
        </w:rPr>
        <w:t>115.15(12)</w:t>
      </w:r>
      <w:r>
        <w:rPr>
          <w:rFonts w:ascii="Times New Roman" w:hAnsi="Times New Roman"/>
          <w:b w:val="false"/>
          <w:i w:val="false"/>
          <w:color w:val="000000"/>
          <w:sz w:val="24"/>
        </w:rPr>
        <w:t> </w:t>
      </w:r>
      <w:r>
        <w:rPr>
          <w:rFonts w:ascii="Times New Roman" w:hAnsi="Times New Roman"/>
          <w:b w:val="false"/>
          <w:i/>
          <w:color w:val="000000"/>
          <w:sz w:val="24"/>
        </w:rPr>
        <w:t xml:space="preserve">Insurance.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strike/>
          <w:color w:val="000000"/>
          <w:sz w:val="24"/>
        </w:rPr>
        <w:t>115.15(11)</w:t>
      </w:r>
      <w:r>
        <w:rPr>
          <w:rFonts w:ascii="Times New Roman" w:hAnsi="Times New Roman"/>
          <w:b w:val="false"/>
          <w:i w:val="false"/>
          <w:color w:val="000000"/>
          <w:sz w:val="24"/>
        </w:rPr>
        <w:t xml:space="preserve"> </w:t>
      </w:r>
      <w:r>
        <w:rPr>
          <w:rFonts w:ascii="Times New Roman" w:hAnsi="Times New Roman"/>
          <w:b/>
          <w:i w:val="false"/>
          <w:color w:val="000000"/>
          <w:sz w:val="24"/>
          <w:u w:val="single"/>
        </w:rPr>
        <w:t>115.15(13)</w:t>
      </w:r>
      <w:r>
        <w:rPr>
          <w:rFonts w:ascii="Times New Roman" w:hAnsi="Times New Roman"/>
          <w:b w:val="false"/>
          <w:i w:val="false"/>
          <w:color w:val="000000"/>
          <w:sz w:val="24"/>
        </w:rPr>
        <w:t> </w:t>
      </w:r>
      <w:r>
        <w:rPr>
          <w:rFonts w:ascii="Times New Roman" w:hAnsi="Times New Roman"/>
          <w:b w:val="false"/>
          <w:i/>
          <w:color w:val="000000"/>
          <w:sz w:val="24"/>
        </w:rPr>
        <w:t xml:space="preserve">Term of permit. </w:t>
      </w:r>
      <w:r>
        <w:rPr>
          <w:rFonts w:ascii="Times New Roman" w:hAnsi="Times New Roman"/>
          <w:b w:val="false"/>
          <w:i w:val="false"/>
          <w:color w:val="000000"/>
          <w:sz w:val="24"/>
        </w:rPr>
        <w:t>The permit is valid for 20 years from the date of issuance. Upon written request, the department may extend or renegotiate the term.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strike/>
          <w:color w:val="000000"/>
          <w:sz w:val="24"/>
        </w:rPr>
        <w:t>115.15(12)</w:t>
      </w:r>
      <w:r>
        <w:rPr>
          <w:rFonts w:ascii="Times New Roman" w:hAnsi="Times New Roman"/>
          <w:b w:val="false"/>
          <w:i w:val="false"/>
          <w:color w:val="000000"/>
          <w:sz w:val="24"/>
        </w:rPr>
        <w:t xml:space="preserve"> </w:t>
      </w:r>
      <w:r>
        <w:rPr>
          <w:rFonts w:ascii="Times New Roman" w:hAnsi="Times New Roman"/>
          <w:b/>
          <w:i w:val="false"/>
          <w:color w:val="000000"/>
          <w:sz w:val="24"/>
          <w:u w:val="single"/>
        </w:rPr>
        <w:t>115.15(14)</w:t>
      </w:r>
      <w:r>
        <w:rPr>
          <w:rFonts w:ascii="Times New Roman" w:hAnsi="Times New Roman"/>
          <w:b w:val="false"/>
          <w:i w:val="false"/>
          <w:color w:val="000000"/>
          <w:sz w:val="24"/>
        </w:rPr>
        <w:t> </w:t>
      </w:r>
      <w:r>
        <w:rPr>
          <w:rFonts w:ascii="Times New Roman" w:hAnsi="Times New Roman"/>
          <w:b w:val="false"/>
          <w:i/>
          <w:color w:val="000000"/>
          <w:sz w:val="24"/>
        </w:rPr>
        <w:t xml:space="preserve">Utilities for road facilities. </w:t>
      </w:r>
      <w:r>
        <w:rPr>
          <w:rFonts w:ascii="Times New Roman" w:hAnsi="Times New Roman"/>
          <w:b w:val="false"/>
          <w:i w:val="false"/>
          <w:color w:val="000000"/>
          <w:sz w:val="24"/>
        </w:rPr>
        <w:t>Longitudinal occupancy of utility facilities that service road-related facilities are permissible upon such terms and conditions as the department may determine.</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115.16(2)“e”</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Utility facility locations shall be marked and identified as set out in subrule </w:t>
      </w:r>
      <w:r>
        <w:rPr>
          <w:rFonts w:ascii="Times New Roman" w:hAnsi="Times New Roman"/>
          <w:b w:val="false"/>
          <w:i w:val="false"/>
          <w:strike/>
          <w:color w:val="000000"/>
          <w:sz w:val="24"/>
        </w:rPr>
        <w:t>115.3(12)</w:t>
      </w:r>
      <w:r>
        <w:rPr>
          <w:rFonts w:ascii="Times New Roman" w:hAnsi="Times New Roman"/>
          <w:b w:val="false"/>
          <w:i w:val="false"/>
          <w:color w:val="000000"/>
          <w:sz w:val="24"/>
          <w:u w:val="single"/>
        </w:rPr>
        <w:t> </w:t>
      </w:r>
      <w:hyperlink r:id="rId18">
        <w:r>
          <w:rPr>
            <w:rStyle w:val="Hyperlink"/>
            <w:rFonts w:ascii="Times New Roman" w:hAnsi="Times New Roman"/>
            <w:b w:val="false"/>
            <w:i w:val="false"/>
            <w:color w:val="000000"/>
            <w:sz w:val="24"/>
            <w:u w:val="single"/>
          </w:rPr>
          <w:t>115.3(13)</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761—115.20(306A)</w:t>
      </w:r>
      <w:r>
        <w:rPr>
          <w:rFonts w:ascii="Times New Roman" w:hAnsi="Times New Roman"/>
          <w:b w:val="false"/>
          <w:i w:val="false"/>
          <w:color w:val="000000"/>
          <w:sz w:val="24"/>
        </w:rPr>
        <w:t>, parenthetical implementation statute</w:t>
      </w:r>
      <w:r>
        <w:rPr>
          <w:rFonts w:ascii="Times New Roman" w:hAnsi="Times New Roman"/>
          <w:b w:val="false"/>
          <w:i w:val="false"/>
          <w:color w:val="000000"/>
          <w:sz w:val="24"/>
        </w:rPr>
        <w:t>, as follows:</w:t>
      </w:r>
    </w:p>
    <w:p>
      <w:pPr>
        <w:spacing w:before="210" w:after="0" w:line="480"/>
        <w:ind w:left="120"/>
        <w:jc w:val="both"/>
      </w:pPr>
      <w:r>
        <w:rPr>
          <w:rFonts w:ascii="Times New Roman" w:hAnsi="Times New Roman"/>
          <w:b/>
          <w:i w:val="false"/>
          <w:color w:val="000000"/>
          <w:sz w:val="24"/>
        </w:rPr>
        <w:t>761—115.20</w:t>
      </w:r>
      <w:r>
        <w:rPr>
          <w:rFonts w:ascii="Times New Roman" w:hAnsi="Times New Roman"/>
          <w:b/>
          <w:i w:val="false"/>
          <w:color w:val="000000"/>
          <w:sz w:val="24"/>
        </w:rPr>
        <w:t>(</w:t>
      </w:r>
      <w:r>
        <w:rPr>
          <w:rFonts w:ascii="Times New Roman" w:hAnsi="Times New Roman"/>
          <w:b/>
          <w:i w:val="false"/>
          <w:color w:val="000000"/>
          <w:sz w:val="24"/>
          <w:u w:val="single"/>
        </w:rPr>
        <w:t>306,</w:t>
      </w:r>
      <w:r>
        <w:rPr>
          <w:rFonts w:ascii="Times New Roman" w:hAnsi="Times New Roman"/>
          <w:b/>
          <w:i w:val="false"/>
          <w:color w:val="000000"/>
          <w:sz w:val="24"/>
        </w:rPr>
        <w:t xml:space="preserve">306A) </w:t>
      </w:r>
      <w:r>
        <w:rPr>
          <w:rFonts w:ascii="Times New Roman" w:hAnsi="Times New Roman"/>
          <w:b/>
          <w:i w:val="false"/>
          <w:color w:val="000000"/>
          <w:sz w:val="24"/>
        </w:rPr>
        <w:t xml:space="preserve">Utility investigation and notice of project. </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761—115.21(306A)</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761—115.21</w:t>
      </w:r>
      <w:r>
        <w:rPr>
          <w:rFonts w:ascii="Times New Roman" w:hAnsi="Times New Roman"/>
          <w:b/>
          <w:i w:val="false"/>
          <w:color w:val="000000"/>
          <w:sz w:val="24"/>
        </w:rPr>
        <w:t>(</w:t>
      </w:r>
      <w:r>
        <w:rPr>
          <w:rFonts w:ascii="Times New Roman" w:hAnsi="Times New Roman"/>
          <w:b/>
          <w:i w:val="false"/>
          <w:color w:val="000000"/>
          <w:sz w:val="24"/>
          <w:u w:val="single"/>
        </w:rPr>
        <w:t>306,</w:t>
      </w:r>
      <w:r>
        <w:rPr>
          <w:rFonts w:ascii="Times New Roman" w:hAnsi="Times New Roman"/>
          <w:b/>
          <w:i w:val="false"/>
          <w:color w:val="000000"/>
          <w:sz w:val="24"/>
        </w:rPr>
        <w:t xml:space="preserve">306A) </w:t>
      </w:r>
      <w:r>
        <w:rPr>
          <w:rFonts w:ascii="Times New Roman" w:hAnsi="Times New Roman"/>
          <w:b/>
          <w:i w:val="false"/>
          <w:color w:val="000000"/>
          <w:sz w:val="24"/>
        </w:rPr>
        <w:t xml:space="preserve">Preliminary plan, verifying accuracy of information.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115.21(1)</w:t>
      </w:r>
      <w:r>
        <w:rPr>
          <w:rFonts w:ascii="Times New Roman" w:hAnsi="Times New Roman"/>
          <w:b w:val="false"/>
          <w:i w:val="false"/>
          <w:color w:val="000000"/>
          <w:sz w:val="24"/>
        </w:rPr>
        <w:t xml:space="preserve"> 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115.21(2)</w:t>
      </w:r>
      <w:r>
        <w:rPr>
          <w:rFonts w:ascii="Times New Roman" w:hAnsi="Times New Roman"/>
          <w:b w:val="false"/>
          <w:i w:val="false"/>
          <w:color w:val="000000"/>
          <w:sz w:val="24"/>
        </w:rPr>
        <w:t> </w:t>
      </w:r>
      <w:r>
        <w:rPr>
          <w:rFonts w:ascii="Times New Roman" w:hAnsi="Times New Roman"/>
          <w:b w:val="false"/>
          <w:i/>
          <w:color w:val="000000"/>
          <w:sz w:val="24"/>
        </w:rPr>
        <w:t xml:space="preserve">Preliminary plan. </w:t>
      </w:r>
      <w:r>
        <w:rPr>
          <w:rFonts w:ascii="Times New Roman" w:hAnsi="Times New Roman"/>
          <w:b w:val="false"/>
          <w:i w:val="false"/>
          <w:color w:val="000000"/>
          <w:sz w:val="24"/>
        </w:rPr>
        <w:t xml:space="preserve">The department will submit its preliminary plan to the owner of each known utility facility within the vicinity of a proposed primary road project and ask utility owners to provide information regarding the accuracy of utility information depicted in the preliminary plan and potential conflicts and the utility owners’ recommended solutions. The department </w:t>
      </w:r>
      <w:r>
        <w:rPr>
          <w:rFonts w:ascii="Times New Roman" w:hAnsi="Times New Roman"/>
          <w:b w:val="false"/>
          <w:i w:val="false"/>
          <w:strike/>
          <w:color w:val="000000"/>
          <w:sz w:val="24"/>
        </w:rPr>
        <w:t>should</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shall</w:t>
      </w:r>
      <w:r>
        <w:rPr>
          <w:rFonts w:ascii="Times New Roman" w:hAnsi="Times New Roman"/>
          <w:b w:val="false"/>
          <w:i w:val="false"/>
          <w:color w:val="000000"/>
          <w:sz w:val="24"/>
        </w:rPr>
        <w:t xml:space="preserve"> schedule a utility coordination meeting after the preliminary plan is sent to the utility owners.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The department shall invite all affected utility owners and local jurisdictions to the utility coordination meeting during the preliminary design processes to jointly review conflicts, evaluate strategies to avoid or minimize utility adjustments, and establish timelines for necessary relocations.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115.21(3)</w:t>
      </w:r>
      <w:r>
        <w:rPr>
          <w:rFonts w:ascii="Times New Roman" w:hAnsi="Times New Roman"/>
          <w:b w:val="false"/>
          <w:i w:val="false"/>
          <w:color w:val="000000"/>
          <w:sz w:val="24"/>
        </w:rPr>
        <w:t xml:space="preserve"> No change.</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14.</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761—115.22(306A)</w:t>
      </w:r>
      <w:r>
        <w:rPr>
          <w:rFonts w:ascii="Times New Roman" w:hAnsi="Times New Roman"/>
          <w:b w:val="false"/>
          <w:i w:val="false"/>
          <w:color w:val="000000"/>
          <w:sz w:val="24"/>
        </w:rPr>
        <w:t>, parenthetical implementation statute</w:t>
      </w:r>
      <w:r>
        <w:rPr>
          <w:rFonts w:ascii="Times New Roman" w:hAnsi="Times New Roman"/>
          <w:b w:val="false"/>
          <w:i w:val="false"/>
          <w:color w:val="000000"/>
          <w:sz w:val="24"/>
        </w:rPr>
        <w:t>, as follows:</w:t>
      </w:r>
    </w:p>
    <w:p>
      <w:pPr>
        <w:spacing w:before="210" w:after="0" w:line="480"/>
        <w:ind w:left="120"/>
        <w:jc w:val="both"/>
      </w:pPr>
      <w:r>
        <w:rPr>
          <w:rFonts w:ascii="Times New Roman" w:hAnsi="Times New Roman"/>
          <w:b/>
          <w:i w:val="false"/>
          <w:color w:val="000000"/>
          <w:sz w:val="24"/>
        </w:rPr>
        <w:t>761—115.22</w:t>
      </w:r>
      <w:r>
        <w:rPr>
          <w:rFonts w:ascii="Times New Roman" w:hAnsi="Times New Roman"/>
          <w:b/>
          <w:i w:val="false"/>
          <w:color w:val="000000"/>
          <w:sz w:val="24"/>
        </w:rPr>
        <w:t>(</w:t>
      </w:r>
      <w:r>
        <w:rPr>
          <w:rFonts w:ascii="Times New Roman" w:hAnsi="Times New Roman"/>
          <w:b/>
          <w:i w:val="false"/>
          <w:color w:val="000000"/>
          <w:sz w:val="24"/>
          <w:u w:val="single"/>
        </w:rPr>
        <w:t>306,</w:t>
      </w:r>
      <w:r>
        <w:rPr>
          <w:rFonts w:ascii="Times New Roman" w:hAnsi="Times New Roman"/>
          <w:b/>
          <w:i w:val="false"/>
          <w:color w:val="000000"/>
          <w:sz w:val="24"/>
        </w:rPr>
        <w:t xml:space="preserve">306A) </w:t>
      </w:r>
      <w:r>
        <w:rPr>
          <w:rFonts w:ascii="Times New Roman" w:hAnsi="Times New Roman"/>
          <w:b/>
          <w:i w:val="false"/>
          <w:color w:val="000000"/>
          <w:sz w:val="24"/>
        </w:rPr>
        <w:t xml:space="preserve">Semifinal plan, utility work plan. </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15.</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115.22(5)“f”</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revised work plan is still not acceptable, the department may initiate noncompliance procedures per subrule </w:t>
      </w:r>
      <w:r>
        <w:rPr>
          <w:rFonts w:ascii="Times New Roman" w:hAnsi="Times New Roman"/>
          <w:b w:val="false"/>
          <w:i w:val="false"/>
          <w:strike/>
          <w:color w:val="000000"/>
          <w:sz w:val="24"/>
        </w:rPr>
        <w:t>115.3(11)</w:t>
      </w:r>
      <w:r>
        <w:rPr>
          <w:rFonts w:ascii="Times New Roman" w:hAnsi="Times New Roman"/>
          <w:b w:val="false"/>
          <w:i w:val="false"/>
          <w:color w:val="000000"/>
          <w:sz w:val="24"/>
          <w:u w:val="single"/>
        </w:rPr>
        <w:t> </w:t>
      </w:r>
      <w:hyperlink r:id="rId19">
        <w:r>
          <w:rPr>
            <w:rStyle w:val="Hyperlink"/>
            <w:rFonts w:ascii="Times New Roman" w:hAnsi="Times New Roman"/>
            <w:b w:val="false"/>
            <w:i w:val="false"/>
            <w:color w:val="000000"/>
            <w:sz w:val="24"/>
            <w:u w:val="single"/>
          </w:rPr>
          <w:t>115.3(12)</w:t>
        </w:r>
      </w:hyperlink>
      <w:r>
        <w:rPr>
          <w:rFonts w:ascii="Times New Roman" w:hAnsi="Times New Roman"/>
          <w:b w:val="false"/>
          <w:i w:val="false"/>
          <w:color w:val="000000"/>
          <w:sz w:val="24"/>
        </w:rPr>
        <w:t xml:space="preserve">. If the department determines that meaningful progress is being made, the department may elect to repeat the process set out in paragraphs </w:t>
      </w:r>
      <w:r>
        <w:rPr>
          <w:rFonts w:ascii="Times New Roman" w:hAnsi="Times New Roman"/>
          <w:b w:val="false"/>
          <w:i w:val="false"/>
          <w:color w:val="000000"/>
          <w:sz w:val="24"/>
        </w:rPr>
        <w:t>115.22(5)</w:t>
      </w:r>
      <w:r>
        <w:rPr>
          <w:rFonts w:ascii="Times New Roman" w:hAnsi="Times New Roman"/>
          <w:b w:val="false"/>
          <w:i/>
          <w:color w:val="000000"/>
          <w:sz w:val="24"/>
        </w:rPr>
        <w:t>“c”</w:t>
      </w:r>
      <w:r>
        <w:rPr>
          <w:rFonts w:ascii="Times New Roman" w:hAnsi="Times New Roman"/>
          <w:b w:val="false"/>
          <w:i w:val="false"/>
          <w:color w:val="000000"/>
          <w:sz w:val="24"/>
        </w:rPr>
        <w:t xml:space="preserve"> </w:t>
      </w:r>
      <w:r>
        <w:rPr>
          <w:rFonts w:ascii="Times New Roman" w:hAnsi="Times New Roman"/>
          <w:b w:val="false"/>
          <w:i w:val="false"/>
          <w:strike/>
          <w:color w:val="000000"/>
          <w:sz w:val="24"/>
        </w:rPr>
        <w:t>to</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through</w:t>
      </w:r>
      <w:r>
        <w:rPr>
          <w:rFonts w:ascii="Times New Roman" w:hAnsi="Times New Roman"/>
          <w:b w:val="false"/>
          <w:i w:val="false"/>
          <w:color w:val="000000"/>
          <w:sz w:val="24"/>
        </w:rPr>
        <w:t xml:space="preserve"> </w:t>
      </w:r>
      <w:r>
        <w:rPr>
          <w:rFonts w:ascii="Times New Roman" w:hAnsi="Times New Roman"/>
          <w:b w:val="false"/>
          <w:i/>
          <w:color w:val="000000"/>
          <w:sz w:val="24"/>
        </w:rPr>
        <w:t>“e.”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16.</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subrule  </w:t>
      </w:r>
      <w:r>
        <w:rPr>
          <w:rFonts w:ascii="Times New Roman" w:hAnsi="Times New Roman"/>
          <w:b w:val="false"/>
          <w:i w:val="false"/>
          <w:color w:val="000000"/>
          <w:sz w:val="24"/>
        </w:rPr>
        <w:t>115.22(7)</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115.22(7)</w:t>
      </w:r>
      <w:r>
        <w:rPr>
          <w:rFonts w:ascii="Times New Roman" w:hAnsi="Times New Roman"/>
          <w:b w:val="false"/>
          <w:i w:val="false"/>
          <w:color w:val="000000"/>
          <w:sz w:val="24"/>
        </w:rPr>
        <w:t> </w:t>
      </w:r>
      <w:r>
        <w:rPr>
          <w:rFonts w:ascii="Times New Roman" w:hAnsi="Times New Roman"/>
          <w:b w:val="false"/>
          <w:i/>
          <w:color w:val="000000"/>
          <w:sz w:val="24"/>
        </w:rPr>
        <w:t xml:space="preserve">Project noninterference. </w:t>
      </w:r>
      <w:r>
        <w:rPr>
          <w:rFonts w:ascii="Times New Roman" w:hAnsi="Times New Roman"/>
          <w:b w:val="false"/>
          <w:i w:val="false"/>
          <w:color w:val="000000"/>
          <w:sz w:val="24"/>
        </w:rPr>
        <w:t>A utility owner’s failure to respond to a project notice, attend early coordination meetings, or submit a work plan within the designated time frames shall not delay, stall, or prevent the department from proceeding with the construction project design, contract bidding, or scheduled construction activities.</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17.</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115.24(4)</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115.24(4)</w:t>
      </w:r>
      <w:r>
        <w:rPr>
          <w:rFonts w:ascii="Times New Roman" w:hAnsi="Times New Roman"/>
          <w:b w:val="false"/>
          <w:i w:val="false"/>
          <w:color w:val="000000"/>
          <w:sz w:val="24"/>
        </w:rPr>
        <w:t> </w:t>
      </w:r>
      <w:r>
        <w:rPr>
          <w:rFonts w:ascii="Times New Roman" w:hAnsi="Times New Roman"/>
          <w:b w:val="false"/>
          <w:i/>
          <w:color w:val="000000"/>
          <w:sz w:val="24"/>
        </w:rPr>
        <w:t xml:space="preserve">Failure to comply with these rules, to provide an acceptable work plan, or to adjust utility facilities. </w:t>
      </w:r>
      <w:r>
        <w:rPr>
          <w:rFonts w:ascii="Times New Roman" w:hAnsi="Times New Roman"/>
          <w:b w:val="false"/>
          <w:i w:val="false"/>
          <w:color w:val="000000"/>
          <w:sz w:val="24"/>
        </w:rPr>
        <w:t xml:space="preserve">If a utility owner fails to comply with these rules, fails to provide an acceptable work plan per subrule </w:t>
      </w:r>
      <w:r>
        <w:rPr>
          <w:rFonts w:ascii="Times New Roman" w:hAnsi="Times New Roman"/>
          <w:b w:val="false"/>
          <w:i w:val="false"/>
          <w:color w:val="000000"/>
          <w:sz w:val="24"/>
        </w:rPr>
        <w:t>115.22(5)</w:t>
      </w:r>
      <w:r>
        <w:rPr>
          <w:rFonts w:ascii="Times New Roman" w:hAnsi="Times New Roman"/>
          <w:b w:val="false"/>
          <w:i w:val="false"/>
          <w:color w:val="000000"/>
          <w:sz w:val="24"/>
        </w:rPr>
        <w:t xml:space="preserve">, fails to comply with the accepted work plan, or fails to complete the adjustment of its utility facilities in accordance with the accepted work plan, and its failure results in a delay to the primary road project or causes damages to be incurred by the department or the department’s contractor, the utility owner is liable for all costs and damages incurred as a result of its failure. In addition to any other remedy that may exist at law, in equity, or under these rules, the department may initiate noncompliance procedures per subrule </w:t>
      </w:r>
      <w:r>
        <w:rPr>
          <w:rFonts w:ascii="Times New Roman" w:hAnsi="Times New Roman"/>
          <w:b w:val="false"/>
          <w:i w:val="false"/>
          <w:strike/>
          <w:color w:val="000000"/>
          <w:sz w:val="24"/>
        </w:rPr>
        <w:t>115.3(11)</w:t>
      </w:r>
      <w:r>
        <w:rPr>
          <w:rFonts w:ascii="Times New Roman" w:hAnsi="Times New Roman"/>
          <w:b w:val="false"/>
          <w:i w:val="false"/>
          <w:color w:val="000000"/>
          <w:sz w:val="24"/>
          <w:u w:val="single"/>
        </w:rPr>
        <w:t> </w:t>
      </w:r>
      <w:hyperlink r:id="rId20">
        <w:r>
          <w:rPr>
            <w:rStyle w:val="Hyperlink"/>
            <w:rFonts w:ascii="Times New Roman" w:hAnsi="Times New Roman"/>
            <w:b w:val="false"/>
            <w:i w:val="false"/>
            <w:color w:val="000000"/>
            <w:sz w:val="24"/>
            <w:u w:val="single"/>
          </w:rPr>
          <w:t>115.3(12)</w:t>
        </w:r>
      </w:hyperlink>
      <w:r>
        <w:rPr>
          <w:rFonts w:ascii="Times New Roman" w:hAnsi="Times New Roman"/>
          <w:b w:val="false"/>
          <w:i w:val="false"/>
          <w:color w:val="000000"/>
          <w:sz w:val="24"/>
        </w:rPr>
        <w:t xml:space="preserve"> for failure to comply with the requirements of these rules.</w:t>
      </w:r>
    </w:p>
    <w:sectPr>
      <w:footerReference r:id="rId2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teams.microsoft.com/meet/255631258535756?p=GJMuzHay5c5WkYHoHO" Type="http://schemas.openxmlformats.org/officeDocument/2006/relationships/hyperlink" Id="rId4"/>
    <Relationship TargetMode="External" Target="mailto:ryan.pell@iowadot.us" Type="http://schemas.openxmlformats.org/officeDocument/2006/relationships/hyperlink" Id="rId5"/>
    <Relationship TargetMode="External" Target="https://www.legis.iowa.gov/docs/iac/rule/761.115.15.pdf" Type="http://schemas.openxmlformats.org/officeDocument/2006/relationships/hyperlink" Id="rId6"/>
    <Relationship TargetMode="External" Target="https://www.legis.iowa.gov/docs/iac/rule/761.115.15.pdf" Type="http://schemas.openxmlformats.org/officeDocument/2006/relationships/hyperlink" Id="rId7"/>
    <Relationship TargetMode="External" Target="https://www.legis.iowa.gov/docs/iac/rule/761.115.3.pdf" Type="http://schemas.openxmlformats.org/officeDocument/2006/relationships/hyperlink" Id="rId8"/>
    <Relationship TargetMode="External" Target="https://www.legis.iowa.gov/docs/iac/rule/761.115.3.pdf" Type="http://schemas.openxmlformats.org/officeDocument/2006/relationships/hyperlink" Id="rId9"/>
    <Relationship TargetMode="External" Target="https://www.legis.iowa.gov/docs/iac/rule/761.115.15.pdf" Type="http://schemas.openxmlformats.org/officeDocument/2006/relationships/hyperlink" Id="rId10"/>
    <Relationship TargetMode="External" Target="https://www.legis.iowa.gov/docs/iac/rule/761.115.3.pdf" Type="http://schemas.openxmlformats.org/officeDocument/2006/relationships/hyperlink" Id="rId11"/>
    <Relationship TargetMode="External" Target="https://www.legis.iowa.gov/docs/iac/rule/761.115.15.pdf" Type="http://schemas.openxmlformats.org/officeDocument/2006/relationships/hyperlink" Id="rId12"/>
    <Relationship TargetMode="External" Target="http://www.iowadot.gov/consultants-contractors/right-way/utility-accommodation-coordination" Type="http://schemas.openxmlformats.org/officeDocument/2006/relationships/hyperlink" Id="rId13"/>
    <Relationship TargetMode="External" Target="https://www.legis.iowa.gov/docs/iac/rule/761.115.15.pdf" Type="http://schemas.openxmlformats.org/officeDocument/2006/relationships/hyperlink" Id="rId14"/>
    <Relationship TargetMode="External" Target="https://www.legis.iowa.gov/docs/iac/rule/761.115.13.pdf" Type="http://schemas.openxmlformats.org/officeDocument/2006/relationships/hyperlink" Id="rId15"/>
    <Relationship TargetMode="External" Target="https://www.legis.iowa.gov/docs/ico/chapter/314.20.pdf" Type="http://schemas.openxmlformats.org/officeDocument/2006/relationships/hyperlink" Id="rId16"/>
    <Relationship TargetMode="External" Target="http://www.iowadot.gov/consultants-contractors/right-way/utility-accommodation-coordination" Type="http://schemas.openxmlformats.org/officeDocument/2006/relationships/hyperlink" Id="rId17"/>
    <Relationship TargetMode="External" Target="https://www.legis.iowa.gov/docs/iac/rule/761.115.3.pdf" Type="http://schemas.openxmlformats.org/officeDocument/2006/relationships/hyperlink" Id="rId18"/>
    <Relationship TargetMode="External" Target="https://www.legis.iowa.gov/docs/iac/rule/761.115.3.pdf" Type="http://schemas.openxmlformats.org/officeDocument/2006/relationships/hyperlink" Id="rId19"/>
    <Relationship TargetMode="External" Target="https://www.legis.iowa.gov/docs/iac/rule/761.115.3.pdf" Type="http://schemas.openxmlformats.org/officeDocument/2006/relationships/hyperlink" Id="rId20"/>
    <Relationship Target="footer.xml" Type="http://schemas.openxmlformats.org/officeDocument/2006/relationships/footer"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